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6B" w:rsidRPr="00AE41DD" w:rsidRDefault="00E13E6B" w:rsidP="00531D1E">
      <w:pPr>
        <w:ind w:left="2835" w:right="1843" w:hanging="992"/>
        <w:jc w:val="both"/>
        <w:rPr>
          <w:rFonts w:ascii="Tahoma" w:hAnsi="Tahoma" w:cs="Tahoma"/>
          <w:i/>
          <w:sz w:val="22"/>
          <w:szCs w:val="22"/>
        </w:rPr>
      </w:pPr>
      <w:r w:rsidRPr="00AE41DD">
        <w:rPr>
          <w:rFonts w:ascii="Tahoma" w:hAnsi="Tahoma" w:cs="Tahoma"/>
          <w:b/>
          <w:i/>
          <w:sz w:val="22"/>
          <w:szCs w:val="22"/>
        </w:rPr>
        <w:t xml:space="preserve">Sumilla: </w:t>
      </w:r>
      <w:r w:rsidR="005E6E6D" w:rsidRPr="00AE41DD">
        <w:rPr>
          <w:rFonts w:ascii="Tahoma" w:hAnsi="Tahoma" w:cs="Tahoma"/>
          <w:b/>
          <w:i/>
          <w:sz w:val="22"/>
          <w:szCs w:val="22"/>
        </w:rPr>
        <w:t xml:space="preserve">   </w:t>
      </w:r>
      <w:r w:rsidR="00635F2E" w:rsidRPr="00AE41DD">
        <w:rPr>
          <w:rFonts w:ascii="Tahoma" w:hAnsi="Tahoma" w:cs="Tahoma"/>
          <w:b/>
          <w:i/>
          <w:sz w:val="22"/>
          <w:szCs w:val="22"/>
        </w:rPr>
        <w:t>“</w:t>
      </w:r>
      <w:r w:rsidR="00FF6B17" w:rsidRPr="00AE41DD">
        <w:rPr>
          <w:rFonts w:ascii="Tahoma" w:hAnsi="Tahoma" w:cs="Tahoma"/>
          <w:i/>
          <w:sz w:val="22"/>
          <w:szCs w:val="22"/>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w:t>
      </w:r>
      <w:r w:rsidR="009B3C77" w:rsidRPr="00AE41DD">
        <w:rPr>
          <w:rFonts w:ascii="Tahoma" w:hAnsi="Tahoma" w:cs="Tahoma"/>
          <w:i/>
          <w:sz w:val="22"/>
          <w:szCs w:val="22"/>
        </w:rPr>
        <w:t>ausal atribuible al Contratista</w:t>
      </w:r>
      <w:r w:rsidR="00635F2E" w:rsidRPr="00AE41DD">
        <w:rPr>
          <w:rFonts w:ascii="Tahoma" w:hAnsi="Tahoma" w:cs="Tahoma"/>
          <w:i/>
          <w:sz w:val="22"/>
          <w:szCs w:val="22"/>
        </w:rPr>
        <w:t>”.</w:t>
      </w:r>
    </w:p>
    <w:p w:rsidR="00E13E6B" w:rsidRPr="00AE41DD" w:rsidRDefault="00E13E6B" w:rsidP="00E13E6B">
      <w:pPr>
        <w:ind w:left="2268" w:right="1843"/>
        <w:jc w:val="both"/>
        <w:rPr>
          <w:rFonts w:ascii="Tahoma" w:hAnsi="Tahoma" w:cs="Tahoma"/>
          <w:b/>
          <w:i/>
          <w:sz w:val="22"/>
          <w:szCs w:val="22"/>
          <w:highlight w:val="yellow"/>
        </w:rPr>
      </w:pPr>
    </w:p>
    <w:p w:rsidR="00E13E6B" w:rsidRPr="00AE41DD" w:rsidRDefault="00E13E6B" w:rsidP="00E13E6B">
      <w:pPr>
        <w:pStyle w:val="Textoindependiente3"/>
        <w:ind w:left="4956" w:firstLine="708"/>
        <w:jc w:val="both"/>
        <w:rPr>
          <w:rFonts w:ascii="Tahoma" w:hAnsi="Tahoma" w:cs="Tahoma"/>
          <w:sz w:val="22"/>
          <w:szCs w:val="22"/>
        </w:rPr>
      </w:pPr>
      <w:r w:rsidRPr="00AE41DD">
        <w:rPr>
          <w:rFonts w:ascii="Tahoma" w:hAnsi="Tahoma" w:cs="Tahoma"/>
          <w:sz w:val="22"/>
          <w:szCs w:val="22"/>
        </w:rPr>
        <w:t xml:space="preserve">Lima, </w:t>
      </w:r>
      <w:r w:rsidR="00ED7B21">
        <w:rPr>
          <w:rFonts w:ascii="Tahoma" w:hAnsi="Tahoma" w:cs="Tahoma"/>
          <w:sz w:val="22"/>
          <w:szCs w:val="22"/>
        </w:rPr>
        <w:t>20 de Mayo de 2011</w:t>
      </w:r>
    </w:p>
    <w:p w:rsidR="00E13E6B" w:rsidRPr="00AE41DD" w:rsidRDefault="00E13E6B" w:rsidP="00E13E6B">
      <w:pPr>
        <w:pStyle w:val="Textoindependiente3"/>
        <w:jc w:val="both"/>
        <w:rPr>
          <w:rFonts w:ascii="Tahoma" w:hAnsi="Tahoma" w:cs="Tahoma"/>
          <w:b w:val="0"/>
          <w:sz w:val="22"/>
          <w:szCs w:val="22"/>
          <w:lang w:val="es-ES"/>
        </w:rPr>
      </w:pPr>
    </w:p>
    <w:p w:rsidR="00E13E6B" w:rsidRPr="00AE41DD" w:rsidRDefault="00E13E6B" w:rsidP="00E13E6B">
      <w:pPr>
        <w:ind w:firstLine="708"/>
        <w:jc w:val="both"/>
        <w:rPr>
          <w:rFonts w:ascii="Tahoma" w:hAnsi="Tahoma" w:cs="Tahoma"/>
          <w:sz w:val="22"/>
          <w:szCs w:val="22"/>
        </w:rPr>
      </w:pPr>
      <w:r w:rsidRPr="00AE41DD">
        <w:rPr>
          <w:rFonts w:ascii="Tahoma" w:hAnsi="Tahoma" w:cs="Tahoma"/>
          <w:b/>
          <w:sz w:val="22"/>
          <w:szCs w:val="22"/>
        </w:rPr>
        <w:t>VISTO,</w:t>
      </w:r>
      <w:r w:rsidRPr="00AE41DD">
        <w:rPr>
          <w:rFonts w:ascii="Tahoma" w:hAnsi="Tahoma" w:cs="Tahoma"/>
          <w:sz w:val="22"/>
          <w:szCs w:val="22"/>
        </w:rPr>
        <w:t xml:space="preserve"> en sesión de fecha </w:t>
      </w:r>
      <w:r w:rsidR="005E6E6D" w:rsidRPr="00AE41DD">
        <w:rPr>
          <w:rFonts w:ascii="Tahoma" w:hAnsi="Tahoma" w:cs="Tahoma"/>
          <w:sz w:val="22"/>
          <w:szCs w:val="22"/>
        </w:rPr>
        <w:t>19</w:t>
      </w:r>
      <w:r w:rsidR="00DD1154" w:rsidRPr="00AE41DD">
        <w:rPr>
          <w:rFonts w:ascii="Tahoma" w:hAnsi="Tahoma" w:cs="Tahoma"/>
          <w:sz w:val="22"/>
          <w:szCs w:val="22"/>
        </w:rPr>
        <w:t xml:space="preserve"> de mayo</w:t>
      </w:r>
      <w:r w:rsidR="00D43251" w:rsidRPr="00AE41DD">
        <w:rPr>
          <w:rFonts w:ascii="Tahoma" w:hAnsi="Tahoma" w:cs="Tahoma"/>
          <w:sz w:val="22"/>
          <w:szCs w:val="22"/>
        </w:rPr>
        <w:t xml:space="preserve"> </w:t>
      </w:r>
      <w:r w:rsidR="00531D1E" w:rsidRPr="00AE41DD">
        <w:rPr>
          <w:rFonts w:ascii="Tahoma" w:hAnsi="Tahoma" w:cs="Tahoma"/>
          <w:sz w:val="22"/>
          <w:szCs w:val="22"/>
        </w:rPr>
        <w:t>de 2011</w:t>
      </w:r>
      <w:r w:rsidRPr="00AE41DD">
        <w:rPr>
          <w:rFonts w:ascii="Tahoma" w:hAnsi="Tahoma" w:cs="Tahoma"/>
          <w:sz w:val="22"/>
          <w:szCs w:val="22"/>
        </w:rPr>
        <w:t xml:space="preserve"> de la </w:t>
      </w:r>
      <w:r w:rsidR="001776B6" w:rsidRPr="00AE41DD">
        <w:rPr>
          <w:rFonts w:ascii="Tahoma" w:hAnsi="Tahoma" w:cs="Tahoma"/>
          <w:sz w:val="22"/>
          <w:szCs w:val="22"/>
        </w:rPr>
        <w:t>Primera</w:t>
      </w:r>
      <w:r w:rsidRPr="00AE41DD">
        <w:rPr>
          <w:rFonts w:ascii="Tahoma" w:hAnsi="Tahoma" w:cs="Tahoma"/>
          <w:sz w:val="22"/>
          <w:szCs w:val="22"/>
        </w:rPr>
        <w:t xml:space="preserve"> Sala del Tribunal de Contrataciones del Estado el Expediente № </w:t>
      </w:r>
      <w:r w:rsidR="005E6E6D" w:rsidRPr="00AE41DD">
        <w:rPr>
          <w:rFonts w:ascii="Tahoma" w:hAnsi="Tahoma" w:cs="Tahoma"/>
          <w:sz w:val="22"/>
          <w:szCs w:val="22"/>
        </w:rPr>
        <w:t>317</w:t>
      </w:r>
      <w:r w:rsidR="00531D1E" w:rsidRPr="00AE41DD">
        <w:rPr>
          <w:rFonts w:ascii="Tahoma" w:hAnsi="Tahoma" w:cs="Tahoma"/>
          <w:sz w:val="22"/>
          <w:szCs w:val="22"/>
        </w:rPr>
        <w:t>/20</w:t>
      </w:r>
      <w:r w:rsidR="00222218" w:rsidRPr="00AE41DD">
        <w:rPr>
          <w:rFonts w:ascii="Tahoma" w:hAnsi="Tahoma" w:cs="Tahoma"/>
          <w:sz w:val="22"/>
          <w:szCs w:val="22"/>
        </w:rPr>
        <w:t>1</w:t>
      </w:r>
      <w:r w:rsidR="005E6E6D" w:rsidRPr="00AE41DD">
        <w:rPr>
          <w:rFonts w:ascii="Tahoma" w:hAnsi="Tahoma" w:cs="Tahoma"/>
          <w:sz w:val="22"/>
          <w:szCs w:val="22"/>
        </w:rPr>
        <w:t>1</w:t>
      </w:r>
      <w:r w:rsidRPr="00AE41DD">
        <w:rPr>
          <w:rFonts w:ascii="Tahoma" w:hAnsi="Tahoma" w:cs="Tahoma"/>
          <w:sz w:val="22"/>
          <w:szCs w:val="22"/>
        </w:rPr>
        <w:t>.TC, sobre procedimiento administrativo sancionador contra</w:t>
      </w:r>
      <w:r w:rsidR="00140241" w:rsidRPr="00AE41DD">
        <w:rPr>
          <w:rFonts w:ascii="Tahoma" w:hAnsi="Tahoma" w:cs="Tahoma"/>
          <w:sz w:val="22"/>
          <w:szCs w:val="22"/>
        </w:rPr>
        <w:t xml:space="preserve"> </w:t>
      </w:r>
      <w:r w:rsidR="005E6E6D" w:rsidRPr="00AE41DD">
        <w:rPr>
          <w:rFonts w:ascii="Tahoma" w:hAnsi="Tahoma" w:cs="Tahoma"/>
          <w:sz w:val="22"/>
          <w:szCs w:val="22"/>
        </w:rPr>
        <w:t>el señor VICTOR SOTOMAYOR EYZAGUIRRE</w:t>
      </w:r>
      <w:r w:rsidR="00D43251" w:rsidRPr="00AE41DD">
        <w:rPr>
          <w:rFonts w:ascii="Tahoma" w:hAnsi="Tahoma" w:cs="Tahoma"/>
          <w:sz w:val="22"/>
          <w:szCs w:val="22"/>
        </w:rPr>
        <w:t xml:space="preserve"> </w:t>
      </w:r>
      <w:r w:rsidRPr="00AE41DD">
        <w:rPr>
          <w:rFonts w:ascii="Tahoma" w:hAnsi="Tahoma" w:cs="Tahoma"/>
          <w:sz w:val="22"/>
          <w:szCs w:val="22"/>
        </w:rPr>
        <w:t xml:space="preserve">por supuesta responsabilidad en la resolución </w:t>
      </w:r>
      <w:r w:rsidR="008422E3" w:rsidRPr="00AE41DD">
        <w:rPr>
          <w:rFonts w:ascii="Tahoma" w:hAnsi="Tahoma" w:cs="Tahoma"/>
          <w:sz w:val="22"/>
          <w:szCs w:val="22"/>
        </w:rPr>
        <w:t>de contrato</w:t>
      </w:r>
      <w:r w:rsidR="005E6E6D" w:rsidRPr="00AE41DD">
        <w:rPr>
          <w:rFonts w:ascii="Tahoma" w:hAnsi="Tahoma" w:cs="Tahoma"/>
          <w:sz w:val="22"/>
          <w:szCs w:val="22"/>
        </w:rPr>
        <w:t xml:space="preserve"> </w:t>
      </w:r>
      <w:r w:rsidR="00A36836" w:rsidRPr="00AE41DD">
        <w:rPr>
          <w:rFonts w:ascii="Tahoma" w:hAnsi="Tahoma" w:cs="Tahoma"/>
          <w:sz w:val="22"/>
          <w:szCs w:val="22"/>
        </w:rPr>
        <w:t>№ 020-2010-ENAPU S.A./GL</w:t>
      </w:r>
      <w:r w:rsidR="00214D5E" w:rsidRPr="00AE41DD">
        <w:rPr>
          <w:rFonts w:ascii="Tahoma" w:hAnsi="Tahoma" w:cs="Tahoma"/>
          <w:sz w:val="22"/>
          <w:szCs w:val="22"/>
        </w:rPr>
        <w:t xml:space="preserve"> </w:t>
      </w:r>
      <w:r w:rsidR="00822C2F" w:rsidRPr="00AE41DD">
        <w:rPr>
          <w:rFonts w:ascii="Tahoma" w:hAnsi="Tahoma" w:cs="Tahoma"/>
          <w:sz w:val="22"/>
          <w:szCs w:val="22"/>
        </w:rPr>
        <w:t xml:space="preserve">por causa atribuible a </w:t>
      </w:r>
      <w:r w:rsidR="00214D5E" w:rsidRPr="00AE41DD">
        <w:rPr>
          <w:rFonts w:ascii="Tahoma" w:hAnsi="Tahoma" w:cs="Tahoma"/>
          <w:sz w:val="22"/>
          <w:szCs w:val="22"/>
        </w:rPr>
        <w:t>él</w:t>
      </w:r>
      <w:r w:rsidR="00466DC8" w:rsidRPr="00AE41DD">
        <w:rPr>
          <w:rFonts w:ascii="Tahoma" w:hAnsi="Tahoma" w:cs="Tahoma"/>
          <w:sz w:val="22"/>
          <w:szCs w:val="22"/>
        </w:rPr>
        <w:t>, derivada</w:t>
      </w:r>
      <w:r w:rsidR="000B0A8A" w:rsidRPr="00AE41DD">
        <w:rPr>
          <w:rFonts w:ascii="Tahoma" w:hAnsi="Tahoma" w:cs="Tahoma"/>
          <w:sz w:val="22"/>
          <w:szCs w:val="22"/>
        </w:rPr>
        <w:t xml:space="preserve"> de la</w:t>
      </w:r>
      <w:r w:rsidRPr="00AE41DD">
        <w:rPr>
          <w:rFonts w:ascii="Tahoma" w:hAnsi="Tahoma" w:cs="Tahoma"/>
          <w:sz w:val="22"/>
          <w:szCs w:val="22"/>
        </w:rPr>
        <w:t xml:space="preserve"> </w:t>
      </w:r>
      <w:r w:rsidR="00A36836" w:rsidRPr="00AE41DD">
        <w:rPr>
          <w:rFonts w:ascii="Tahoma" w:hAnsi="Tahoma" w:cs="Tahoma"/>
          <w:sz w:val="22"/>
          <w:szCs w:val="22"/>
        </w:rPr>
        <w:t>Adjudicación Directa Selectiva № 045-2009-ENAPU S.A./TPC</w:t>
      </w:r>
      <w:r w:rsidR="00D43251" w:rsidRPr="00AE41DD">
        <w:rPr>
          <w:rFonts w:ascii="Tahoma" w:hAnsi="Tahoma" w:cs="Tahoma"/>
          <w:sz w:val="22"/>
          <w:szCs w:val="22"/>
        </w:rPr>
        <w:t xml:space="preserve">, </w:t>
      </w:r>
      <w:r w:rsidR="008422E3" w:rsidRPr="00AE41DD">
        <w:rPr>
          <w:rFonts w:ascii="Tahoma" w:hAnsi="Tahoma" w:cs="Tahoma"/>
          <w:sz w:val="22"/>
          <w:szCs w:val="22"/>
        </w:rPr>
        <w:t>primera</w:t>
      </w:r>
      <w:r w:rsidR="00D43251" w:rsidRPr="00AE41DD">
        <w:rPr>
          <w:rFonts w:ascii="Tahoma" w:hAnsi="Tahoma" w:cs="Tahoma"/>
          <w:sz w:val="22"/>
          <w:szCs w:val="22"/>
        </w:rPr>
        <w:t xml:space="preserve"> convocatoria</w:t>
      </w:r>
      <w:r w:rsidRPr="00AE41DD">
        <w:rPr>
          <w:rFonts w:ascii="Tahoma" w:hAnsi="Tahoma" w:cs="Tahoma"/>
          <w:sz w:val="22"/>
          <w:szCs w:val="22"/>
        </w:rPr>
        <w:t xml:space="preserve">, </w:t>
      </w:r>
      <w:r w:rsidR="00D43251" w:rsidRPr="00AE41DD">
        <w:rPr>
          <w:rFonts w:ascii="Tahoma" w:hAnsi="Tahoma" w:cs="Tahoma"/>
          <w:sz w:val="22"/>
          <w:szCs w:val="22"/>
        </w:rPr>
        <w:t xml:space="preserve">realizada por </w:t>
      </w:r>
      <w:r w:rsidR="00A36836" w:rsidRPr="00AE41DD">
        <w:rPr>
          <w:rFonts w:ascii="Tahoma" w:hAnsi="Tahoma" w:cs="Tahoma"/>
          <w:sz w:val="22"/>
          <w:szCs w:val="22"/>
        </w:rPr>
        <w:t>la Empresa Nacional de Puertos S.A. – ENAPU S.A.</w:t>
      </w:r>
      <w:r w:rsidRPr="00AE41DD">
        <w:rPr>
          <w:rFonts w:ascii="Tahoma" w:hAnsi="Tahoma" w:cs="Tahoma"/>
          <w:sz w:val="22"/>
          <w:szCs w:val="22"/>
        </w:rPr>
        <w:t>, para</w:t>
      </w:r>
      <w:r w:rsidR="00903A92" w:rsidRPr="00AE41DD">
        <w:rPr>
          <w:rFonts w:ascii="Tahoma" w:hAnsi="Tahoma" w:cs="Tahoma"/>
          <w:sz w:val="22"/>
          <w:szCs w:val="22"/>
        </w:rPr>
        <w:t xml:space="preserve"> </w:t>
      </w:r>
      <w:r w:rsidR="00A36836" w:rsidRPr="00AE41DD">
        <w:rPr>
          <w:rFonts w:ascii="Tahoma" w:hAnsi="Tahoma" w:cs="Tahoma"/>
          <w:sz w:val="22"/>
          <w:szCs w:val="22"/>
        </w:rPr>
        <w:t>el “Servicio de Refacción del Muro Perimétrico de la Entidad”</w:t>
      </w:r>
      <w:r w:rsidRPr="00AE41DD">
        <w:rPr>
          <w:rFonts w:ascii="Tahoma" w:hAnsi="Tahoma" w:cs="Tahoma"/>
          <w:sz w:val="22"/>
          <w:szCs w:val="22"/>
        </w:rPr>
        <w:t xml:space="preserve">, y; atendiendo a los siguientes:  </w:t>
      </w:r>
    </w:p>
    <w:p w:rsidR="00E13E6B" w:rsidRPr="00AE41DD" w:rsidRDefault="00E13E6B" w:rsidP="00E13E6B">
      <w:pPr>
        <w:ind w:right="45"/>
        <w:jc w:val="both"/>
        <w:rPr>
          <w:rFonts w:ascii="Tahoma" w:hAnsi="Tahoma" w:cs="Tahoma"/>
          <w:b/>
          <w:sz w:val="22"/>
          <w:szCs w:val="22"/>
        </w:rPr>
      </w:pPr>
    </w:p>
    <w:p w:rsidR="00E13E6B" w:rsidRPr="00AE41DD" w:rsidRDefault="00E13E6B" w:rsidP="00E13E6B">
      <w:pPr>
        <w:ind w:firstLine="567"/>
        <w:jc w:val="both"/>
        <w:rPr>
          <w:rFonts w:ascii="Tahoma" w:hAnsi="Tahoma" w:cs="Tahoma"/>
          <w:b/>
          <w:sz w:val="22"/>
          <w:szCs w:val="22"/>
        </w:rPr>
      </w:pPr>
      <w:r w:rsidRPr="00AE41DD">
        <w:rPr>
          <w:rFonts w:ascii="Tahoma" w:hAnsi="Tahoma" w:cs="Tahoma"/>
          <w:b/>
          <w:sz w:val="22"/>
          <w:szCs w:val="22"/>
        </w:rPr>
        <w:t>ANTECEDENTES:</w:t>
      </w:r>
    </w:p>
    <w:p w:rsidR="00E13E6B" w:rsidRPr="00AE41DD" w:rsidRDefault="00E13E6B" w:rsidP="00E13E6B">
      <w:pPr>
        <w:ind w:left="426"/>
        <w:jc w:val="both"/>
        <w:rPr>
          <w:rFonts w:ascii="Tahoma" w:hAnsi="Tahoma" w:cs="Tahoma"/>
          <w:b/>
          <w:bCs/>
          <w:shadow/>
          <w:sz w:val="22"/>
          <w:szCs w:val="22"/>
        </w:rPr>
      </w:pPr>
    </w:p>
    <w:p w:rsidR="005E6E6D" w:rsidRPr="00AE41DD" w:rsidRDefault="005E6E6D" w:rsidP="005E6E6D">
      <w:pPr>
        <w:numPr>
          <w:ilvl w:val="0"/>
          <w:numId w:val="19"/>
        </w:numPr>
        <w:ind w:left="567" w:hanging="567"/>
        <w:jc w:val="both"/>
        <w:rPr>
          <w:rFonts w:ascii="Tahoma" w:hAnsi="Tahoma" w:cs="Tahoma"/>
          <w:sz w:val="22"/>
          <w:szCs w:val="22"/>
        </w:rPr>
      </w:pPr>
      <w:r w:rsidRPr="00AE41DD">
        <w:rPr>
          <w:rFonts w:ascii="Tahoma" w:hAnsi="Tahoma" w:cs="Tahoma"/>
          <w:sz w:val="22"/>
          <w:szCs w:val="22"/>
        </w:rPr>
        <w:t>El 29 de diciembre de 2009, la Empresa Nacional de Puertos S.A. – ENAPU S.A., en adelante la Entidad, convocó la Adjudicación Directa Selectiva № 045-2009-ENAPU S.A./TPC, primera convocatoria, para el “Servicio de Refacción del Muro Perimétrico de la Entidad”, por un valor referencial de S/. 32,000.00 (Treinta y dos mil con 00/100 Nuevos Soles), incluido los impuesto de ley.</w:t>
      </w:r>
    </w:p>
    <w:p w:rsidR="005E6E6D" w:rsidRPr="00AE41DD" w:rsidRDefault="005E6E6D" w:rsidP="005E6E6D">
      <w:pPr>
        <w:ind w:left="567"/>
        <w:rPr>
          <w:rFonts w:ascii="Tahoma" w:hAnsi="Tahoma" w:cs="Tahoma"/>
          <w:sz w:val="22"/>
          <w:szCs w:val="22"/>
        </w:rPr>
      </w:pPr>
    </w:p>
    <w:p w:rsidR="005E6E6D" w:rsidRPr="00AE41DD" w:rsidRDefault="005E6E6D" w:rsidP="005E6E6D">
      <w:pPr>
        <w:numPr>
          <w:ilvl w:val="0"/>
          <w:numId w:val="19"/>
        </w:numPr>
        <w:ind w:left="567" w:hanging="567"/>
        <w:jc w:val="both"/>
        <w:rPr>
          <w:rFonts w:ascii="Tahoma" w:hAnsi="Tahoma" w:cs="Tahoma"/>
          <w:sz w:val="22"/>
          <w:szCs w:val="22"/>
        </w:rPr>
      </w:pPr>
      <w:r w:rsidRPr="00AE41DD">
        <w:rPr>
          <w:rFonts w:ascii="Tahoma" w:hAnsi="Tahoma" w:cs="Tahoma"/>
          <w:sz w:val="22"/>
          <w:szCs w:val="22"/>
        </w:rPr>
        <w:t>Como resultado del proceso de selección, el 22 de enero de 2010, se otorgó la Buena Pro al señor VICTOR SOTOMAYOR EYZAGUIRRE, por su oferta económica ascendente a S/. 30 400.00 nuevos soles.</w:t>
      </w:r>
    </w:p>
    <w:p w:rsidR="005E6E6D" w:rsidRPr="00AE41DD" w:rsidRDefault="005E6E6D" w:rsidP="005E6E6D">
      <w:pPr>
        <w:pStyle w:val="Prrafodelista"/>
        <w:rPr>
          <w:rFonts w:ascii="Tahoma" w:hAnsi="Tahoma" w:cs="Tahoma"/>
          <w:sz w:val="22"/>
          <w:szCs w:val="22"/>
        </w:rPr>
      </w:pPr>
    </w:p>
    <w:p w:rsidR="005E6E6D" w:rsidRPr="00AE41DD" w:rsidRDefault="005E6E6D" w:rsidP="005E6E6D">
      <w:pPr>
        <w:numPr>
          <w:ilvl w:val="0"/>
          <w:numId w:val="19"/>
        </w:numPr>
        <w:ind w:left="567" w:hanging="567"/>
        <w:jc w:val="both"/>
        <w:rPr>
          <w:rFonts w:ascii="Tahoma" w:hAnsi="Tahoma" w:cs="Tahoma"/>
          <w:sz w:val="22"/>
          <w:szCs w:val="22"/>
        </w:rPr>
      </w:pPr>
      <w:r w:rsidRPr="00AE41DD">
        <w:rPr>
          <w:rFonts w:ascii="Tahoma" w:hAnsi="Tahoma" w:cs="Tahoma"/>
          <w:sz w:val="22"/>
          <w:szCs w:val="22"/>
        </w:rPr>
        <w:t>El 05 de febrero de 2010, la Entidad y el señor VICTOR SOTOMAYOR EYZAGUIRRE, en adelante el Contratista, suscribieron el Contrato № 020-2010-ENAPU S.A./GL, para el servicio de refacción del muro perimétrico de la Entidad, bajo el sistema de suma alzada, por el monto de S/. 30 400.00, y cuyo plazo de ejecución contractual sería de treinta (30) días calendario a tenor de la Cláusula Sexta del citado contrato.</w:t>
      </w:r>
    </w:p>
    <w:p w:rsidR="005E6E6D" w:rsidRPr="00AE41DD" w:rsidRDefault="005E6E6D" w:rsidP="005E6E6D">
      <w:pPr>
        <w:pStyle w:val="Prrafodelista"/>
        <w:rPr>
          <w:rFonts w:ascii="Tahoma" w:hAnsi="Tahoma" w:cs="Tahoma"/>
          <w:sz w:val="22"/>
          <w:szCs w:val="22"/>
        </w:rPr>
      </w:pPr>
    </w:p>
    <w:p w:rsidR="005E6E6D" w:rsidRPr="00AE41DD" w:rsidRDefault="005E6E6D" w:rsidP="005E6E6D">
      <w:pPr>
        <w:numPr>
          <w:ilvl w:val="0"/>
          <w:numId w:val="19"/>
        </w:numPr>
        <w:ind w:left="567" w:hanging="567"/>
        <w:jc w:val="both"/>
        <w:rPr>
          <w:rFonts w:ascii="Tahoma" w:hAnsi="Tahoma" w:cs="Tahoma"/>
          <w:sz w:val="22"/>
          <w:szCs w:val="22"/>
        </w:rPr>
      </w:pPr>
      <w:r w:rsidRPr="00AE41DD">
        <w:rPr>
          <w:rFonts w:ascii="Tahoma" w:hAnsi="Tahoma" w:cs="Tahoma"/>
          <w:sz w:val="22"/>
          <w:szCs w:val="22"/>
        </w:rPr>
        <w:lastRenderedPageBreak/>
        <w:t>A través de la Carta Notarial № 550-2010-ENAPU S.A./GL de fecha 30 de junio de 2010, diligenciada el 02 de julio del mismo año, la Entidad le comunicó al Contratista que habiéndosele notificado mediante Oficio № 014-2010-ENAPU S.A./GIM/FMR el inicio de los trabajos a realizarse de acuerdo al contrato suscrito, su representada a la fecha no había cumplido con prestar sus servicios pactados, de acuerdo a lo manifestado por el Supervisor de Servicio.</w:t>
      </w:r>
    </w:p>
    <w:p w:rsidR="005E6E6D" w:rsidRPr="00AE41DD" w:rsidRDefault="005E6E6D" w:rsidP="005E6E6D">
      <w:pPr>
        <w:pStyle w:val="Prrafodelista"/>
        <w:rPr>
          <w:rFonts w:ascii="Tahoma" w:hAnsi="Tahoma" w:cs="Tahoma"/>
          <w:sz w:val="22"/>
          <w:szCs w:val="22"/>
        </w:rPr>
      </w:pPr>
    </w:p>
    <w:p w:rsidR="005E6E6D" w:rsidRPr="00AE41DD" w:rsidRDefault="005E6E6D" w:rsidP="005E6E6D">
      <w:pPr>
        <w:numPr>
          <w:ilvl w:val="0"/>
          <w:numId w:val="19"/>
        </w:numPr>
        <w:ind w:left="567" w:hanging="567"/>
        <w:jc w:val="both"/>
        <w:rPr>
          <w:rFonts w:ascii="Tahoma" w:hAnsi="Tahoma" w:cs="Tahoma"/>
          <w:sz w:val="22"/>
          <w:szCs w:val="22"/>
        </w:rPr>
      </w:pPr>
      <w:r w:rsidRPr="00AE41DD">
        <w:rPr>
          <w:rFonts w:ascii="Tahoma" w:hAnsi="Tahoma" w:cs="Tahoma"/>
          <w:sz w:val="22"/>
          <w:szCs w:val="22"/>
        </w:rPr>
        <w:t>Mediante Carta Notarial № 893-2010-ENAPU S.A./GL de fecha 29 de septiembre de 2010, diligenciada el 01 de octubre del mismo año, la Entidad le otorgó al Contratista el plazo de cinco (05) días a fin de que cumpla con sus obligaciones contractuales, bajo apercibimiento de resolver el Contrato № 020-2010-ENAPU S.A./GL; precisando que de continuar con el incumplimiento se procedería a la resolución contractual.</w:t>
      </w:r>
    </w:p>
    <w:p w:rsidR="005E6E6D" w:rsidRPr="00AE41DD" w:rsidRDefault="005E6E6D" w:rsidP="005E6E6D">
      <w:pPr>
        <w:ind w:left="567"/>
        <w:rPr>
          <w:rFonts w:ascii="Tahoma" w:hAnsi="Tahoma" w:cs="Tahoma"/>
          <w:sz w:val="22"/>
          <w:szCs w:val="22"/>
        </w:rPr>
      </w:pPr>
    </w:p>
    <w:p w:rsidR="005E6E6D" w:rsidRPr="00AE41DD" w:rsidRDefault="005E6E6D" w:rsidP="005E6E6D">
      <w:pPr>
        <w:numPr>
          <w:ilvl w:val="0"/>
          <w:numId w:val="19"/>
        </w:numPr>
        <w:ind w:left="567" w:hanging="567"/>
        <w:jc w:val="both"/>
        <w:rPr>
          <w:rFonts w:ascii="Tahoma" w:hAnsi="Tahoma" w:cs="Tahoma"/>
          <w:sz w:val="22"/>
          <w:szCs w:val="22"/>
        </w:rPr>
      </w:pPr>
      <w:r w:rsidRPr="00AE41DD">
        <w:rPr>
          <w:rFonts w:ascii="Tahoma" w:hAnsi="Tahoma" w:cs="Tahoma"/>
          <w:sz w:val="22"/>
          <w:szCs w:val="22"/>
        </w:rPr>
        <w:t>A través Carta Notarial № 959-2010-ENAPU S.A./GL de fecha 22 de octubre de 2010, notificada el 25 del mismo mes y año, la Entidad comunicó al Contratista que, al no haber cumplido con sus obligaciones contractuales, procedía a resolver el Contrato № 020-2010-ENAPU S.A./GL; por causal atribuible a su parte.</w:t>
      </w:r>
    </w:p>
    <w:p w:rsidR="005E6E6D" w:rsidRPr="00AE41DD" w:rsidRDefault="005E6E6D" w:rsidP="005E6E6D">
      <w:pPr>
        <w:pStyle w:val="Prrafodelista"/>
        <w:rPr>
          <w:rFonts w:ascii="Tahoma" w:hAnsi="Tahoma" w:cs="Tahoma"/>
          <w:sz w:val="22"/>
          <w:szCs w:val="22"/>
        </w:rPr>
      </w:pPr>
    </w:p>
    <w:p w:rsidR="005E6E6D" w:rsidRPr="00AE41DD" w:rsidRDefault="005E6E6D" w:rsidP="005E6E6D">
      <w:pPr>
        <w:numPr>
          <w:ilvl w:val="0"/>
          <w:numId w:val="19"/>
        </w:numPr>
        <w:ind w:left="567" w:hanging="567"/>
        <w:jc w:val="both"/>
        <w:rPr>
          <w:rFonts w:ascii="Tahoma" w:hAnsi="Tahoma" w:cs="Tahoma"/>
          <w:sz w:val="22"/>
          <w:szCs w:val="22"/>
        </w:rPr>
      </w:pPr>
      <w:r w:rsidRPr="00AE41DD">
        <w:rPr>
          <w:rFonts w:ascii="Tahoma" w:hAnsi="Tahoma" w:cs="Tahoma"/>
          <w:sz w:val="22"/>
          <w:szCs w:val="22"/>
        </w:rPr>
        <w:t>Con escrito presentado el 04 de marzo de 2011, la Entidad puso en conocimiento del Tribunal de Contrataciones del Estado, en adelante el Tribunal, la supuesta responsabilidad del Contratista en la resolución del Contrato № 020-2010-ENAPU S.A./GL, por causal atribuible a su parte, derivado del acotado proceso de selección, pese a haber sido requerida de acuerdo con la legislación vigente. Para tal efecto, adjuntó el Informe Legal № 024-2011-ENAPU S.A./OAJ de fecha 02 de marzo de 2011, mediante el cual indicó que a la fecha no existe proceso arbitral u otro mecanismo que se haya iniciado.</w:t>
      </w:r>
    </w:p>
    <w:p w:rsidR="005E6E6D" w:rsidRPr="00AE41DD" w:rsidRDefault="005E6E6D" w:rsidP="005E6E6D">
      <w:pPr>
        <w:pStyle w:val="Prrafodelista"/>
        <w:rPr>
          <w:rFonts w:ascii="Tahoma" w:hAnsi="Tahoma" w:cs="Tahoma"/>
          <w:sz w:val="22"/>
          <w:szCs w:val="22"/>
        </w:rPr>
      </w:pPr>
    </w:p>
    <w:p w:rsidR="005E6E6D" w:rsidRPr="00AE41DD" w:rsidRDefault="005E6E6D" w:rsidP="005E6E6D">
      <w:pPr>
        <w:numPr>
          <w:ilvl w:val="0"/>
          <w:numId w:val="19"/>
        </w:numPr>
        <w:ind w:left="567" w:hanging="567"/>
        <w:jc w:val="both"/>
        <w:rPr>
          <w:rFonts w:ascii="Tahoma" w:hAnsi="Tahoma" w:cs="Tahoma"/>
          <w:sz w:val="22"/>
          <w:szCs w:val="22"/>
        </w:rPr>
      </w:pPr>
      <w:r w:rsidRPr="00AE41DD">
        <w:rPr>
          <w:rFonts w:ascii="Tahoma" w:hAnsi="Tahoma" w:cs="Tahoma"/>
          <w:sz w:val="22"/>
          <w:szCs w:val="22"/>
        </w:rPr>
        <w:t>Con decreto de fecha 09 de marzo de 2011, notificado el 28 del mismo mes y año, el Tribunal inició el procedimiento administrativo sancionador contra el Contratista por su supuesta responsabilidad en la resolución del Contrato № 020-2010-ENAPU S.A./GL de fecha 05 de febrero de 2010, derivada de la Adjudicación Directa Selectiva № 045-2009-ENAPU S.A./TPC, primera convocatoria, por causal atribuible a su parte, infracción tipificada en el literal b) del numeral 51.1 del artículo 51 de la Ley en concordancia con el literal b) del numeral 1) del artículo 237 del Reglamento. Asimismo, se le requirió para que en el plazo de diez (10) días hábiles cumplieran con presentar su escrito de descargos.</w:t>
      </w:r>
    </w:p>
    <w:p w:rsidR="005E6E6D" w:rsidRPr="00AE41DD" w:rsidRDefault="005E6E6D" w:rsidP="005E6E6D">
      <w:pPr>
        <w:pStyle w:val="Prrafodelista"/>
        <w:rPr>
          <w:rFonts w:ascii="Tahoma" w:hAnsi="Tahoma" w:cs="Tahoma"/>
          <w:sz w:val="22"/>
          <w:szCs w:val="22"/>
        </w:rPr>
      </w:pPr>
    </w:p>
    <w:p w:rsidR="005E6E6D" w:rsidRPr="00AE41DD" w:rsidRDefault="005E6E6D" w:rsidP="005E6E6D">
      <w:pPr>
        <w:numPr>
          <w:ilvl w:val="0"/>
          <w:numId w:val="19"/>
        </w:numPr>
        <w:ind w:left="567" w:hanging="567"/>
        <w:jc w:val="both"/>
        <w:rPr>
          <w:rFonts w:ascii="Tahoma" w:hAnsi="Tahoma" w:cs="Tahoma"/>
          <w:sz w:val="22"/>
          <w:szCs w:val="22"/>
        </w:rPr>
      </w:pPr>
      <w:r w:rsidRPr="00AE41DD">
        <w:rPr>
          <w:rFonts w:ascii="Tahoma" w:hAnsi="Tahoma" w:cs="Tahoma"/>
          <w:sz w:val="22"/>
          <w:szCs w:val="22"/>
        </w:rPr>
        <w:t>Mediante escrito presentado el 11 de abril de 21011, el Contratista presentó su escrito de descargos, bajo los siguientes términos:</w:t>
      </w:r>
    </w:p>
    <w:p w:rsidR="005E6E6D" w:rsidRPr="00AE41DD" w:rsidRDefault="005E6E6D" w:rsidP="005E6E6D">
      <w:pPr>
        <w:pStyle w:val="Prrafodelista"/>
        <w:rPr>
          <w:rFonts w:ascii="Tahoma" w:hAnsi="Tahoma" w:cs="Tahoma"/>
          <w:sz w:val="22"/>
          <w:szCs w:val="22"/>
        </w:rPr>
      </w:pPr>
    </w:p>
    <w:p w:rsidR="005E6E6D" w:rsidRPr="00AE41DD" w:rsidRDefault="005E6E6D" w:rsidP="005E6E6D">
      <w:pPr>
        <w:numPr>
          <w:ilvl w:val="0"/>
          <w:numId w:val="22"/>
        </w:numPr>
        <w:ind w:left="1134" w:hanging="283"/>
        <w:jc w:val="both"/>
        <w:rPr>
          <w:rFonts w:ascii="Tahoma" w:hAnsi="Tahoma" w:cs="Tahoma"/>
          <w:sz w:val="22"/>
          <w:szCs w:val="22"/>
        </w:rPr>
      </w:pPr>
      <w:r w:rsidRPr="00AE41DD">
        <w:rPr>
          <w:rFonts w:ascii="Tahoma" w:hAnsi="Tahoma" w:cs="Tahoma"/>
          <w:sz w:val="22"/>
          <w:szCs w:val="22"/>
        </w:rPr>
        <w:lastRenderedPageBreak/>
        <w:t>Que, la Carta Notarial № 893-2010-ENAPU S.A./GL de fecha 29 de septiembre de 2010 (carta de requerimiento de cumplimiento de obligaciones contractuales), fue recepcionada por una persona distinta al recurrente, razón por la cual, no pude tomar conocimiento oportuno de la misiva, a fin de dar cumplimiento al contrato suscrito.</w:t>
      </w:r>
    </w:p>
    <w:p w:rsidR="005E6E6D" w:rsidRPr="00AE41DD" w:rsidRDefault="005E6E6D" w:rsidP="005E6E6D">
      <w:pPr>
        <w:pStyle w:val="Prrafodelista"/>
        <w:rPr>
          <w:rFonts w:ascii="Tahoma" w:hAnsi="Tahoma" w:cs="Tahoma"/>
          <w:sz w:val="22"/>
          <w:szCs w:val="22"/>
        </w:rPr>
      </w:pPr>
    </w:p>
    <w:p w:rsidR="005E6E6D" w:rsidRPr="00AE41DD" w:rsidRDefault="005E6E6D" w:rsidP="005E6E6D">
      <w:pPr>
        <w:numPr>
          <w:ilvl w:val="0"/>
          <w:numId w:val="22"/>
        </w:numPr>
        <w:ind w:left="1134" w:hanging="283"/>
        <w:jc w:val="both"/>
        <w:rPr>
          <w:rFonts w:ascii="Tahoma" w:hAnsi="Tahoma" w:cs="Tahoma"/>
          <w:sz w:val="22"/>
          <w:szCs w:val="22"/>
        </w:rPr>
      </w:pPr>
      <w:r w:rsidRPr="00AE41DD">
        <w:rPr>
          <w:rFonts w:ascii="Tahoma" w:hAnsi="Tahoma" w:cs="Tahoma"/>
          <w:sz w:val="22"/>
          <w:szCs w:val="22"/>
        </w:rPr>
        <w:t>Asimismo, la Carta Notarial № 959-2010-ENAPU S.A./GL de fecha 22 de octubre de 2010 (carta de resolución del contrato), no fue comunicada a mi representada con las formalidades de Ley, toda vez que la constancia en la que se consigna “Debajo de Puerta” no se encuentra regulada conforme lo dispone la Ley del Procedimiento Administrativo, Ley 27444. (sic)</w:t>
      </w:r>
    </w:p>
    <w:p w:rsidR="005E6E6D" w:rsidRPr="00AE41DD" w:rsidRDefault="005E6E6D" w:rsidP="005E6E6D">
      <w:pPr>
        <w:pStyle w:val="Prrafodelista"/>
        <w:rPr>
          <w:rFonts w:ascii="Tahoma" w:hAnsi="Tahoma" w:cs="Tahoma"/>
          <w:sz w:val="22"/>
          <w:szCs w:val="22"/>
        </w:rPr>
      </w:pPr>
    </w:p>
    <w:p w:rsidR="005E6E6D" w:rsidRPr="00AE41DD" w:rsidRDefault="005E6E6D" w:rsidP="005E6E6D">
      <w:pPr>
        <w:numPr>
          <w:ilvl w:val="0"/>
          <w:numId w:val="22"/>
        </w:numPr>
        <w:ind w:left="1134" w:hanging="283"/>
        <w:jc w:val="both"/>
        <w:rPr>
          <w:rFonts w:ascii="Tahoma" w:hAnsi="Tahoma" w:cs="Tahoma"/>
          <w:sz w:val="22"/>
          <w:szCs w:val="22"/>
        </w:rPr>
      </w:pPr>
      <w:r w:rsidRPr="00AE41DD">
        <w:rPr>
          <w:rFonts w:ascii="Tahoma" w:hAnsi="Tahoma" w:cs="Tahoma"/>
          <w:sz w:val="22"/>
          <w:szCs w:val="22"/>
        </w:rPr>
        <w:t>Respecto a ello, cabe precisar, que no me he negado a cumplir con mis prestaciones a cargo, sino por el contrario desde el inicio de la ejecución contractual, informamos a la Entidad las razones por las que no podíamos iniciar el servicio contrato.</w:t>
      </w:r>
    </w:p>
    <w:p w:rsidR="005E6E6D" w:rsidRPr="00AE41DD" w:rsidRDefault="005E6E6D" w:rsidP="005E6E6D">
      <w:pPr>
        <w:pStyle w:val="Prrafodelista"/>
        <w:rPr>
          <w:rFonts w:ascii="Tahoma" w:hAnsi="Tahoma" w:cs="Tahoma"/>
          <w:sz w:val="22"/>
          <w:szCs w:val="22"/>
        </w:rPr>
      </w:pPr>
    </w:p>
    <w:p w:rsidR="005E6E6D" w:rsidRPr="00AE41DD" w:rsidRDefault="005E6E6D" w:rsidP="005E6E6D">
      <w:pPr>
        <w:numPr>
          <w:ilvl w:val="0"/>
          <w:numId w:val="19"/>
        </w:numPr>
        <w:ind w:left="567" w:hanging="567"/>
        <w:jc w:val="both"/>
        <w:rPr>
          <w:rFonts w:ascii="Tahoma" w:hAnsi="Tahoma" w:cs="Tahoma"/>
          <w:sz w:val="22"/>
          <w:szCs w:val="22"/>
        </w:rPr>
      </w:pPr>
      <w:r w:rsidRPr="00AE41DD">
        <w:rPr>
          <w:rFonts w:ascii="Tahoma" w:hAnsi="Tahoma" w:cs="Tahoma"/>
          <w:sz w:val="22"/>
          <w:szCs w:val="22"/>
        </w:rPr>
        <w:t>Con decreto de fecha 18 de abril de 2011, se tuvo por apersonad al Contratista a la instancia administrativa, y se remitió el expediente a la Primera Sala del Tribunal para que resolviera.</w:t>
      </w:r>
    </w:p>
    <w:p w:rsidR="005E6E6D" w:rsidRPr="00AE41DD" w:rsidRDefault="005E6E6D" w:rsidP="005E6E6D">
      <w:pPr>
        <w:ind w:left="567"/>
        <w:rPr>
          <w:rFonts w:ascii="Tahoma" w:hAnsi="Tahoma" w:cs="Tahoma"/>
          <w:sz w:val="22"/>
          <w:szCs w:val="22"/>
        </w:rPr>
      </w:pPr>
    </w:p>
    <w:p w:rsidR="005E6E6D" w:rsidRPr="00AE41DD" w:rsidRDefault="005E6E6D" w:rsidP="005E6E6D">
      <w:pPr>
        <w:numPr>
          <w:ilvl w:val="0"/>
          <w:numId w:val="19"/>
        </w:numPr>
        <w:ind w:left="567" w:hanging="567"/>
        <w:jc w:val="both"/>
        <w:rPr>
          <w:rFonts w:ascii="Tahoma" w:hAnsi="Tahoma" w:cs="Tahoma"/>
          <w:sz w:val="22"/>
          <w:szCs w:val="22"/>
        </w:rPr>
      </w:pPr>
      <w:r w:rsidRPr="00AE41DD">
        <w:rPr>
          <w:rFonts w:ascii="Tahoma" w:hAnsi="Tahoma" w:cs="Tahoma"/>
          <w:sz w:val="22"/>
          <w:szCs w:val="22"/>
          <w:lang w:eastAsia="es-PE"/>
        </w:rPr>
        <w:t xml:space="preserve">Mediante decreto del 27 de abril de 2011, se solicitó tanto a la Entidad como al Notario Rafael Rivero Castillo que indiquen el diligenciamiento efectuada a la Carta </w:t>
      </w:r>
      <w:r w:rsidRPr="00AE41DD">
        <w:rPr>
          <w:rFonts w:ascii="Tahoma" w:hAnsi="Tahoma" w:cs="Tahoma"/>
          <w:sz w:val="22"/>
          <w:szCs w:val="22"/>
        </w:rPr>
        <w:t>Notarial № 7837</w:t>
      </w:r>
      <w:r w:rsidRPr="00AE41DD">
        <w:rPr>
          <w:rFonts w:ascii="Tahoma" w:hAnsi="Tahoma" w:cs="Tahoma"/>
          <w:sz w:val="22"/>
          <w:szCs w:val="22"/>
          <w:lang w:eastAsia="es-PE"/>
        </w:rPr>
        <w:t xml:space="preserve"> (carta que notificó la resolución del contrato), </w:t>
      </w:r>
      <w:r w:rsidRPr="00AE41DD">
        <w:rPr>
          <w:rFonts w:ascii="Tahoma" w:hAnsi="Tahoma" w:cs="Tahoma"/>
          <w:color w:val="000000"/>
          <w:sz w:val="22"/>
          <w:szCs w:val="22"/>
        </w:rPr>
        <w:t>bajo responsabilidad y apercibimiento de resolver con la documentación obrante en autos.</w:t>
      </w:r>
    </w:p>
    <w:p w:rsidR="005E6E6D" w:rsidRPr="00AE41DD" w:rsidRDefault="005E6E6D" w:rsidP="005E6E6D">
      <w:pPr>
        <w:pStyle w:val="Prrafodelista"/>
        <w:rPr>
          <w:rFonts w:ascii="Tahoma" w:hAnsi="Tahoma" w:cs="Tahoma"/>
          <w:sz w:val="22"/>
          <w:szCs w:val="22"/>
        </w:rPr>
      </w:pPr>
    </w:p>
    <w:p w:rsidR="005E6E6D" w:rsidRPr="00AE41DD" w:rsidRDefault="005E6E6D" w:rsidP="005E6E6D">
      <w:pPr>
        <w:numPr>
          <w:ilvl w:val="0"/>
          <w:numId w:val="19"/>
        </w:numPr>
        <w:ind w:left="567" w:hanging="567"/>
        <w:jc w:val="both"/>
        <w:rPr>
          <w:rFonts w:ascii="Tahoma" w:hAnsi="Tahoma" w:cs="Tahoma"/>
          <w:sz w:val="22"/>
          <w:szCs w:val="22"/>
        </w:rPr>
      </w:pPr>
      <w:r w:rsidRPr="00AE41DD">
        <w:rPr>
          <w:rFonts w:ascii="Tahoma" w:hAnsi="Tahoma" w:cs="Tahoma"/>
          <w:sz w:val="22"/>
          <w:szCs w:val="22"/>
        </w:rPr>
        <w:t xml:space="preserve">A través de la Carta s/n presentada el 05 de mayo de 2011, </w:t>
      </w:r>
      <w:r w:rsidRPr="00AE41DD">
        <w:rPr>
          <w:rFonts w:ascii="Tahoma" w:hAnsi="Tahoma" w:cs="Tahoma"/>
          <w:sz w:val="22"/>
          <w:szCs w:val="22"/>
          <w:lang w:eastAsia="es-PE"/>
        </w:rPr>
        <w:t xml:space="preserve">el Notario Rafael Rivero Castillo, manifestó que la </w:t>
      </w:r>
      <w:r w:rsidRPr="00AE41DD">
        <w:rPr>
          <w:rFonts w:ascii="Tahoma" w:hAnsi="Tahoma" w:cs="Tahoma"/>
          <w:sz w:val="22"/>
          <w:szCs w:val="22"/>
        </w:rPr>
        <w:t>Carta Notarial № 7837</w:t>
      </w:r>
      <w:r w:rsidRPr="00AE41DD">
        <w:rPr>
          <w:rFonts w:ascii="Tahoma" w:hAnsi="Tahoma" w:cs="Tahoma"/>
          <w:sz w:val="22"/>
          <w:szCs w:val="22"/>
          <w:lang w:eastAsia="es-PE"/>
        </w:rPr>
        <w:t>, cursada al Contratista, se diligenció conforme aparece en la certificación de fecha 25 de octubre de 2010, de acuerdo a lo estipulado en el artículo 100 del Decreto Legislativo del Notariado.</w:t>
      </w:r>
    </w:p>
    <w:p w:rsidR="00A36836" w:rsidRPr="00AE41DD" w:rsidRDefault="00A36836" w:rsidP="00A36836">
      <w:pPr>
        <w:pStyle w:val="Prrafodelista"/>
        <w:rPr>
          <w:rFonts w:ascii="Tahoma" w:hAnsi="Tahoma" w:cs="Tahoma"/>
          <w:sz w:val="22"/>
          <w:szCs w:val="22"/>
        </w:rPr>
      </w:pPr>
    </w:p>
    <w:p w:rsidR="00A36836" w:rsidRPr="00AE41DD" w:rsidRDefault="00A36836" w:rsidP="005E6E6D">
      <w:pPr>
        <w:numPr>
          <w:ilvl w:val="0"/>
          <w:numId w:val="19"/>
        </w:numPr>
        <w:ind w:left="567" w:hanging="567"/>
        <w:jc w:val="both"/>
        <w:rPr>
          <w:rFonts w:ascii="Tahoma" w:hAnsi="Tahoma" w:cs="Tahoma"/>
          <w:sz w:val="22"/>
          <w:szCs w:val="22"/>
        </w:rPr>
      </w:pPr>
      <w:r w:rsidRPr="00AE41DD">
        <w:rPr>
          <w:rFonts w:ascii="Tahoma" w:hAnsi="Tahoma" w:cs="Tahoma"/>
          <w:sz w:val="22"/>
          <w:szCs w:val="22"/>
        </w:rPr>
        <w:t>Mediante escrito presentado el 17 de mayo de 2011, la Entidad cumplió con remitir la información solicitada.</w:t>
      </w:r>
    </w:p>
    <w:p w:rsidR="006E5571" w:rsidRPr="00AE41DD" w:rsidRDefault="006E5571" w:rsidP="00E13E6B">
      <w:pPr>
        <w:pStyle w:val="Textoindependiente"/>
        <w:tabs>
          <w:tab w:val="left" w:pos="-2340"/>
          <w:tab w:val="left" w:pos="540"/>
        </w:tabs>
        <w:spacing w:after="0"/>
        <w:ind w:left="180" w:hanging="180"/>
        <w:jc w:val="both"/>
        <w:rPr>
          <w:rFonts w:ascii="Tahoma" w:hAnsi="Tahoma" w:cs="Tahoma"/>
          <w:b/>
          <w:sz w:val="22"/>
          <w:szCs w:val="22"/>
        </w:rPr>
      </w:pPr>
    </w:p>
    <w:p w:rsidR="00E13E6B" w:rsidRPr="00AE41DD" w:rsidRDefault="00E13E6B" w:rsidP="00E13E6B">
      <w:pPr>
        <w:pStyle w:val="Textoindependiente"/>
        <w:tabs>
          <w:tab w:val="left" w:pos="-2340"/>
          <w:tab w:val="left" w:pos="540"/>
        </w:tabs>
        <w:spacing w:after="0"/>
        <w:ind w:left="180" w:hanging="180"/>
        <w:jc w:val="both"/>
        <w:rPr>
          <w:rFonts w:ascii="Tahoma" w:hAnsi="Tahoma" w:cs="Tahoma"/>
          <w:b/>
          <w:sz w:val="22"/>
          <w:szCs w:val="22"/>
        </w:rPr>
      </w:pPr>
      <w:r w:rsidRPr="00AE41DD">
        <w:rPr>
          <w:rFonts w:ascii="Tahoma" w:hAnsi="Tahoma" w:cs="Tahoma"/>
          <w:b/>
          <w:sz w:val="22"/>
          <w:szCs w:val="22"/>
        </w:rPr>
        <w:tab/>
      </w:r>
      <w:r w:rsidRPr="00AE41DD">
        <w:rPr>
          <w:rFonts w:ascii="Tahoma" w:hAnsi="Tahoma" w:cs="Tahoma"/>
          <w:b/>
          <w:sz w:val="22"/>
          <w:szCs w:val="22"/>
        </w:rPr>
        <w:tab/>
        <w:t>FUNDAMENTACIÓN:</w:t>
      </w:r>
    </w:p>
    <w:p w:rsidR="00E13E6B" w:rsidRPr="00AE41DD" w:rsidRDefault="00E13E6B" w:rsidP="00E13E6B">
      <w:pPr>
        <w:pStyle w:val="Sangradetextonormal"/>
        <w:spacing w:after="0"/>
        <w:ind w:left="0"/>
        <w:jc w:val="both"/>
        <w:rPr>
          <w:rFonts w:ascii="Tahoma" w:hAnsi="Tahoma" w:cs="Tahoma"/>
          <w:sz w:val="22"/>
          <w:szCs w:val="22"/>
        </w:rPr>
      </w:pPr>
    </w:p>
    <w:p w:rsidR="005E6E6D" w:rsidRPr="00AE41DD" w:rsidRDefault="005E6E6D" w:rsidP="005E6E6D">
      <w:pPr>
        <w:pStyle w:val="Prrafodelista"/>
        <w:numPr>
          <w:ilvl w:val="0"/>
          <w:numId w:val="4"/>
        </w:numPr>
        <w:ind w:left="567" w:hanging="567"/>
        <w:jc w:val="both"/>
        <w:rPr>
          <w:rFonts w:ascii="Tahoma" w:hAnsi="Tahoma" w:cs="Tahoma"/>
          <w:sz w:val="22"/>
          <w:szCs w:val="22"/>
        </w:rPr>
      </w:pPr>
      <w:r w:rsidRPr="00AE41DD">
        <w:rPr>
          <w:rFonts w:ascii="Tahoma" w:hAnsi="Tahoma" w:cs="Tahoma"/>
          <w:sz w:val="22"/>
          <w:szCs w:val="22"/>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5E6E6D" w:rsidRPr="00AE41DD" w:rsidRDefault="005E6E6D" w:rsidP="005E6E6D">
      <w:pPr>
        <w:pStyle w:val="Prrafodelista"/>
        <w:ind w:left="567"/>
        <w:rPr>
          <w:rFonts w:ascii="Tahoma" w:hAnsi="Tahoma" w:cs="Tahoma"/>
          <w:sz w:val="22"/>
          <w:szCs w:val="22"/>
        </w:rPr>
      </w:pPr>
    </w:p>
    <w:p w:rsidR="005E6E6D" w:rsidRPr="00AE41DD" w:rsidRDefault="005E6E6D" w:rsidP="005E6E6D">
      <w:pPr>
        <w:pStyle w:val="Prrafodelista"/>
        <w:numPr>
          <w:ilvl w:val="0"/>
          <w:numId w:val="4"/>
        </w:numPr>
        <w:ind w:left="567" w:hanging="567"/>
        <w:jc w:val="both"/>
        <w:rPr>
          <w:rFonts w:ascii="Tahoma" w:hAnsi="Tahoma" w:cs="Tahoma"/>
          <w:sz w:val="22"/>
          <w:szCs w:val="22"/>
        </w:rPr>
      </w:pPr>
      <w:r w:rsidRPr="00AE41DD">
        <w:rPr>
          <w:rFonts w:ascii="Tahoma" w:hAnsi="Tahoma" w:cs="Tahoma"/>
          <w:sz w:val="22"/>
          <w:szCs w:val="22"/>
        </w:rPr>
        <w:lastRenderedPageBreak/>
        <w:t>El presente caso está referido a la supuesta responsabilidad del Contratista por el incumplimiento injustificado de las obligaciones del Contrato № 020-2010-ENAPU S.A./GL de fecha 05 de febrero de 2010, derivada de la Adjudicación Directa Selectiva № 045-2009-ENAPU S.A./TPC, primera convocatoria, supuesto de hecho del tipo legal previsto en el literal b) del numeral 51.1 del artículo 51 de la Ley</w:t>
      </w:r>
      <w:r w:rsidRPr="00AE41DD">
        <w:rPr>
          <w:rStyle w:val="Refdenotaalpie"/>
          <w:rFonts w:ascii="Tahoma" w:hAnsi="Tahoma" w:cs="Tahoma"/>
          <w:sz w:val="22"/>
          <w:szCs w:val="22"/>
        </w:rPr>
        <w:footnoteReference w:id="2"/>
      </w:r>
      <w:r w:rsidRPr="00AE41DD">
        <w:rPr>
          <w:rFonts w:ascii="Tahoma" w:hAnsi="Tahoma" w:cs="Tahoma"/>
          <w:sz w:val="22"/>
          <w:szCs w:val="22"/>
        </w:rPr>
        <w:t xml:space="preserve"> en concordancia con el literal b) del numeral 1) del artículo 237 del Reglamento</w:t>
      </w:r>
      <w:r w:rsidRPr="00AE41DD">
        <w:rPr>
          <w:rStyle w:val="Refdenotaalpie"/>
          <w:rFonts w:ascii="Tahoma" w:hAnsi="Tahoma" w:cs="Tahoma"/>
          <w:sz w:val="22"/>
          <w:szCs w:val="22"/>
        </w:rPr>
        <w:footnoteReference w:id="3"/>
      </w:r>
      <w:r w:rsidRPr="00AE41DD">
        <w:rPr>
          <w:rFonts w:ascii="Tahoma" w:hAnsi="Tahoma" w:cs="Tahoma"/>
          <w:sz w:val="22"/>
          <w:szCs w:val="22"/>
        </w:rPr>
        <w:t>, norma vigente al momento de suscitado el hecho imputado.</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Prrafodelista"/>
        <w:numPr>
          <w:ilvl w:val="0"/>
          <w:numId w:val="4"/>
        </w:numPr>
        <w:ind w:left="567" w:hanging="567"/>
        <w:jc w:val="both"/>
        <w:rPr>
          <w:rFonts w:ascii="Tahoma" w:hAnsi="Tahoma" w:cs="Tahoma"/>
          <w:sz w:val="22"/>
          <w:szCs w:val="22"/>
        </w:rPr>
      </w:pPr>
      <w:r w:rsidRPr="00AE41DD">
        <w:rPr>
          <w:rFonts w:ascii="Tahoma" w:hAnsi="Tahoma" w:cs="Tahoma"/>
          <w:sz w:val="22"/>
          <w:szCs w:val="22"/>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causal atribuible a la Contratista.</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Prrafodelista"/>
        <w:numPr>
          <w:ilvl w:val="0"/>
          <w:numId w:val="4"/>
        </w:numPr>
        <w:ind w:left="567" w:hanging="567"/>
        <w:jc w:val="both"/>
        <w:rPr>
          <w:rFonts w:ascii="Tahoma" w:hAnsi="Tahoma" w:cs="Tahoma"/>
          <w:sz w:val="22"/>
          <w:szCs w:val="22"/>
        </w:rPr>
      </w:pPr>
      <w:r w:rsidRPr="00AE41DD">
        <w:rPr>
          <w:rFonts w:ascii="Tahoma" w:hAnsi="Tahoma" w:cs="Tahoma"/>
          <w:sz w:val="22"/>
          <w:szCs w:val="22"/>
        </w:rPr>
        <w:t>Sobre el particular, el literal c) del artículo 40 de la Ley, dispone que en caso de incumplimiento por parte del contratista de alguna de sus obligaciones, preliminarmente observada por la Entidad y que no haya sido subsanada, esta última podrá resolver en forma total o parcial el contrato, mediante el envío por vía notarial del documento en el que se manifieste esta decisión y el motivo que la justifica.</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Prrafodelista"/>
        <w:numPr>
          <w:ilvl w:val="0"/>
          <w:numId w:val="4"/>
        </w:numPr>
        <w:ind w:left="567" w:hanging="567"/>
        <w:jc w:val="both"/>
        <w:rPr>
          <w:rFonts w:ascii="Tahoma" w:hAnsi="Tahoma" w:cs="Tahoma"/>
          <w:sz w:val="22"/>
          <w:szCs w:val="22"/>
        </w:rPr>
      </w:pPr>
      <w:r w:rsidRPr="00AE41DD">
        <w:rPr>
          <w:rFonts w:ascii="Tahoma" w:hAnsi="Tahoma" w:cs="Tahoma"/>
          <w:sz w:val="22"/>
          <w:szCs w:val="22"/>
        </w:rPr>
        <w:t>En ese orden de ideas, el artículo 168 del Reglamento prescribe las causales de resolución por incumplimiento, siendo que la Entidad podrá resolver el contrato cuando el Contratista: 1) Incumpla injustificadamente obligaciones contractuales, legales o reglamentarias a su cargo, pese a haber sido requerido para ello; 2) Haya acumulado el monto máximo de la penalidad por mora o el monto máximo para otras penalidades, en la ejecución de la prestación a su cargo; y 3) Paralice o reduzca injustificadamente la ejecución de la prestación, pese a haber sido requerido para corregir tal situación.</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Prrafodelista"/>
        <w:numPr>
          <w:ilvl w:val="0"/>
          <w:numId w:val="4"/>
        </w:numPr>
        <w:ind w:left="567" w:hanging="567"/>
        <w:jc w:val="both"/>
        <w:rPr>
          <w:rFonts w:ascii="Tahoma" w:hAnsi="Tahoma" w:cs="Tahoma"/>
          <w:sz w:val="22"/>
          <w:szCs w:val="22"/>
        </w:rPr>
      </w:pPr>
      <w:r w:rsidRPr="00AE41DD">
        <w:rPr>
          <w:rFonts w:ascii="Tahoma" w:hAnsi="Tahoma" w:cs="Tahoma"/>
          <w:sz w:val="22"/>
          <w:szCs w:val="22"/>
        </w:rPr>
        <w:t xml:space="preserve">Ahora bien, el procedimiento de resolución contractual, cuya observancia es condición necesaria para evaluar la existencia de eventuales responsabilidades de carácter administrativo, se encuentra previsto en el artículo 169 del Reglamento, según el cual en caso de incumplimiento contractual de una de las partes involucradas, la parte que resulte perjudicada con tal hecho requerirá a la otra </w:t>
      </w:r>
      <w:r w:rsidRPr="00AE41DD">
        <w:rPr>
          <w:rFonts w:ascii="Tahoma" w:hAnsi="Tahoma" w:cs="Tahoma"/>
          <w:sz w:val="22"/>
          <w:szCs w:val="22"/>
        </w:rPr>
        <w:lastRenderedPageBreak/>
        <w:t>notarialmente para que satisfaga sus obligaciones en un plazo no mayor de cinco (5) días, bajo apercibimiento de resolver el contrato. De continuar el incumplimiento contractual, la citada disposición reglamentaria precisa que la parte perjudicada comunicará notarialmente la resolución total o parcial del contrato. (el subrayado es nuestro)</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Prrafodelista"/>
        <w:numPr>
          <w:ilvl w:val="0"/>
          <w:numId w:val="4"/>
        </w:numPr>
        <w:ind w:left="567" w:hanging="567"/>
        <w:jc w:val="both"/>
        <w:rPr>
          <w:rFonts w:ascii="Tahoma" w:hAnsi="Tahoma" w:cs="Tahoma"/>
          <w:sz w:val="22"/>
          <w:szCs w:val="22"/>
        </w:rPr>
      </w:pPr>
      <w:r w:rsidRPr="00AE41DD">
        <w:rPr>
          <w:rFonts w:ascii="Tahoma" w:hAnsi="Tahoma" w:cs="Tahoma"/>
          <w:sz w:val="22"/>
          <w:szCs w:val="22"/>
        </w:rPr>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hayan generado incumplimientos contractuales, si se logra verificar que la Entidad no ha resuelto el contrato en observancia de las normas citadas, la conducta no será pasible de sanción.</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Prrafodelista"/>
        <w:numPr>
          <w:ilvl w:val="0"/>
          <w:numId w:val="4"/>
        </w:numPr>
        <w:ind w:left="567" w:hanging="567"/>
        <w:jc w:val="both"/>
        <w:rPr>
          <w:rFonts w:ascii="Tahoma" w:hAnsi="Tahoma" w:cs="Tahoma"/>
          <w:sz w:val="22"/>
          <w:szCs w:val="22"/>
        </w:rPr>
      </w:pPr>
      <w:r w:rsidRPr="00AE41DD">
        <w:rPr>
          <w:rFonts w:ascii="Tahoma" w:hAnsi="Tahoma" w:cs="Tahoma"/>
          <w:sz w:val="22"/>
          <w:szCs w:val="22"/>
        </w:rPr>
        <w:t>Este criterio, además, ha sido recogido en el Acuerdo de Sala Plena № 018/010 del 4 de setiembre de 2002</w:t>
      </w:r>
      <w:r w:rsidRPr="00AE41DD">
        <w:rPr>
          <w:rStyle w:val="Refdenotaalpie"/>
          <w:rFonts w:ascii="Tahoma" w:hAnsi="Tahoma" w:cs="Tahoma"/>
          <w:sz w:val="22"/>
          <w:szCs w:val="22"/>
        </w:rPr>
        <w:footnoteReference w:id="4"/>
      </w:r>
      <w:r w:rsidRPr="00AE41DD">
        <w:rPr>
          <w:rFonts w:ascii="Tahoma" w:hAnsi="Tahoma" w:cs="Tahoma"/>
          <w:sz w:val="22"/>
          <w:szCs w:val="22"/>
        </w:rPr>
        <w:t>, en el que el Tribunal expresamente dispuso que, para la imposición de sanción por la causal que nos ocupa, las Entidades denunciantes deberán presentar la documentación que acredite haber dado cumplimiento al procedimiento de resolución antes expuesto, es decir el envío de la carta notarial de requerimiento previo a la Contratista para el cumplimiento de la obligación y la carta notarial mediante la cual se le comunica el Acuerdo o Resolución que resuelve el contrato, agregando que en caso de no habérsele requerido o cuando, habiendo sido solicitados los documentos acreditativos por el Tribunal, estos no hubiesen sido presentados, se declarará no ha lugar al inicio del procedimiento administrativo sancionador, disponiéndose el archivamiento del expediente, al haberse incumplido con el debido procedimiento.</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Prrafodelista"/>
        <w:numPr>
          <w:ilvl w:val="0"/>
          <w:numId w:val="4"/>
        </w:numPr>
        <w:ind w:left="567" w:hanging="567"/>
        <w:jc w:val="both"/>
        <w:rPr>
          <w:rFonts w:ascii="Tahoma" w:hAnsi="Tahoma" w:cs="Tahoma"/>
          <w:sz w:val="22"/>
          <w:szCs w:val="22"/>
        </w:rPr>
      </w:pPr>
      <w:r w:rsidRPr="00AE41DD">
        <w:rPr>
          <w:rFonts w:ascii="Tahoma" w:hAnsi="Tahoma" w:cs="Tahoma"/>
          <w:sz w:val="22"/>
          <w:szCs w:val="22"/>
        </w:rPr>
        <w:t xml:space="preserve">De los antecedentes remitidos por la Entidad, se observa que la Entidad remitió a la Contratista, </w:t>
      </w:r>
      <w:r w:rsidRPr="00AE41DD">
        <w:rPr>
          <w:rFonts w:ascii="Tahoma" w:hAnsi="Tahoma" w:cs="Tahoma"/>
          <w:sz w:val="22"/>
          <w:szCs w:val="22"/>
          <w:u w:val="single"/>
        </w:rPr>
        <w:t>vía conducto notarial</w:t>
      </w:r>
      <w:r w:rsidRPr="00AE41DD">
        <w:rPr>
          <w:rFonts w:ascii="Tahoma" w:hAnsi="Tahoma" w:cs="Tahoma"/>
          <w:sz w:val="22"/>
          <w:szCs w:val="22"/>
        </w:rPr>
        <w:t>, las siguientes comunicaciones:</w:t>
      </w:r>
    </w:p>
    <w:p w:rsidR="005E6E6D" w:rsidRPr="00AE41DD" w:rsidRDefault="005E6E6D" w:rsidP="005E6E6D">
      <w:pPr>
        <w:tabs>
          <w:tab w:val="left" w:pos="8280"/>
        </w:tabs>
        <w:ind w:left="567" w:hanging="567"/>
        <w:rPr>
          <w:rFonts w:ascii="Tahoma" w:hAnsi="Tahoma" w:cs="Tahoma"/>
          <w:b/>
          <w:sz w:val="22"/>
          <w:szCs w:val="22"/>
          <w:lang w:val="es-PE"/>
        </w:rPr>
      </w:pPr>
    </w:p>
    <w:p w:rsidR="005E6E6D" w:rsidRPr="00AE41DD" w:rsidRDefault="005E6E6D" w:rsidP="005E6E6D">
      <w:pPr>
        <w:numPr>
          <w:ilvl w:val="0"/>
          <w:numId w:val="20"/>
        </w:numPr>
        <w:ind w:hanging="578"/>
        <w:jc w:val="both"/>
        <w:rPr>
          <w:rFonts w:ascii="Tahoma" w:hAnsi="Tahoma" w:cs="Tahoma"/>
          <w:sz w:val="22"/>
          <w:szCs w:val="22"/>
        </w:rPr>
      </w:pPr>
      <w:r w:rsidRPr="00AE41DD">
        <w:rPr>
          <w:rFonts w:ascii="Tahoma" w:hAnsi="Tahoma" w:cs="Tahoma"/>
          <w:sz w:val="22"/>
          <w:szCs w:val="22"/>
        </w:rPr>
        <w:t>Mediante Carta Notarial № 893-2010-ENAPU S.A./GL de fecha 29 de septiembre de 2010, diligenciada el 01 de octubre del mismo año, la Entidad le otorgó al Contratista el plazo de cinco (05) días a fin de que cumpla con sus obligaciones contractuales, bajo apercibimiento de resolver el Contrato № 020-2010-ENAPU S.A./GL; precisando que de continuar con el incumplimiento se procedería a la resolución contractual.</w:t>
      </w:r>
    </w:p>
    <w:p w:rsidR="005E6E6D" w:rsidRPr="00AE41DD" w:rsidRDefault="005E6E6D" w:rsidP="005E6E6D">
      <w:pPr>
        <w:ind w:left="1287"/>
        <w:rPr>
          <w:rFonts w:ascii="Tahoma" w:hAnsi="Tahoma" w:cs="Tahoma"/>
          <w:sz w:val="22"/>
          <w:szCs w:val="22"/>
        </w:rPr>
      </w:pPr>
    </w:p>
    <w:p w:rsidR="005E6E6D" w:rsidRPr="00AE41DD" w:rsidRDefault="005E6E6D" w:rsidP="005E6E6D">
      <w:pPr>
        <w:numPr>
          <w:ilvl w:val="0"/>
          <w:numId w:val="20"/>
        </w:numPr>
        <w:ind w:hanging="578"/>
        <w:jc w:val="both"/>
        <w:rPr>
          <w:rFonts w:ascii="Tahoma" w:hAnsi="Tahoma" w:cs="Tahoma"/>
          <w:sz w:val="22"/>
          <w:szCs w:val="22"/>
        </w:rPr>
      </w:pPr>
      <w:r w:rsidRPr="00AE41DD">
        <w:rPr>
          <w:rFonts w:ascii="Tahoma" w:hAnsi="Tahoma" w:cs="Tahoma"/>
          <w:sz w:val="22"/>
          <w:szCs w:val="22"/>
        </w:rPr>
        <w:t xml:space="preserve">A través Carta Notarial № 959-2010-ENAPU S.A./GL de fecha 22 de octubre de 2010, notificada el 25 del mismo mes y año, la Entidad </w:t>
      </w:r>
      <w:r w:rsidRPr="00AE41DD">
        <w:rPr>
          <w:rFonts w:ascii="Tahoma" w:hAnsi="Tahoma" w:cs="Tahoma"/>
          <w:sz w:val="22"/>
          <w:szCs w:val="22"/>
        </w:rPr>
        <w:lastRenderedPageBreak/>
        <w:t>comunicó al Contratista que, al no haber cumplido con sus obligaciones contractuales, procedía a resolver el Contrato № 020-2010-ENAPU S.A./GL; por causal atribuible a su parte.</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Textoindependiente"/>
        <w:widowControl w:val="0"/>
        <w:numPr>
          <w:ilvl w:val="0"/>
          <w:numId w:val="4"/>
        </w:numPr>
        <w:suppressAutoHyphens/>
        <w:spacing w:after="0"/>
        <w:ind w:left="567" w:hanging="567"/>
        <w:jc w:val="both"/>
        <w:rPr>
          <w:rFonts w:ascii="Tahoma" w:hAnsi="Tahoma" w:cs="Tahoma"/>
          <w:sz w:val="22"/>
          <w:szCs w:val="22"/>
        </w:rPr>
      </w:pPr>
      <w:r w:rsidRPr="00AE41DD">
        <w:rPr>
          <w:rFonts w:ascii="Tahoma" w:hAnsi="Tahoma" w:cs="Tahoma"/>
          <w:sz w:val="22"/>
          <w:szCs w:val="22"/>
        </w:rPr>
        <w:t>Llegados a este punto, resulta pertinente traer a colación el cuestionamiento efectuado por la Contratista en su escrito de descargos, referido a que la Entidad no habría cumplido con observar lo dispuesto en los artículos 168 y 169 del Reglamento, en tanto las cartas de requerimiento de cumplimiento  obligaciones y resolución de contrato no fueron comunicadas conforme a las formalidades establecidas por Ley, esto es, de acuerdo a la Ley de Procedimiento Administrativo General.</w:t>
      </w:r>
    </w:p>
    <w:p w:rsidR="005E6E6D" w:rsidRPr="00AE41DD" w:rsidRDefault="005E6E6D" w:rsidP="005E6E6D">
      <w:pPr>
        <w:pStyle w:val="Textoindependiente"/>
        <w:widowControl w:val="0"/>
        <w:suppressAutoHyphens/>
        <w:ind w:left="567"/>
        <w:rPr>
          <w:rFonts w:ascii="Tahoma" w:hAnsi="Tahoma" w:cs="Tahoma"/>
          <w:sz w:val="22"/>
          <w:szCs w:val="22"/>
        </w:rPr>
      </w:pPr>
    </w:p>
    <w:p w:rsidR="005E6E6D" w:rsidRPr="00AE41DD" w:rsidRDefault="005E6E6D" w:rsidP="005E6E6D">
      <w:pPr>
        <w:pStyle w:val="Textoindependiente"/>
        <w:widowControl w:val="0"/>
        <w:numPr>
          <w:ilvl w:val="0"/>
          <w:numId w:val="4"/>
        </w:numPr>
        <w:suppressAutoHyphens/>
        <w:spacing w:after="0"/>
        <w:ind w:left="567" w:hanging="567"/>
        <w:jc w:val="both"/>
        <w:rPr>
          <w:rFonts w:ascii="Tahoma" w:hAnsi="Tahoma" w:cs="Tahoma"/>
          <w:sz w:val="22"/>
          <w:szCs w:val="22"/>
        </w:rPr>
      </w:pPr>
      <w:r w:rsidRPr="00AE41DD">
        <w:rPr>
          <w:rFonts w:ascii="Tahoma" w:hAnsi="Tahoma" w:cs="Tahoma"/>
          <w:sz w:val="22"/>
          <w:szCs w:val="22"/>
        </w:rPr>
        <w:t xml:space="preserve">Ahora bien, respecto de la primera carta notarial referido al requerimiento de cumplimiento de obligaciones contractuales, cabe señalar, de un lado, que ésta fue cursada al domicilio consignado en el Contrato № 020-2010-ENAPU-S.A./GL suscrito entre la Entidad y el Contratista luego de resultar este último adjudicatario de la Buena Pro del proceso de selección y, por tanto, válida para todo efecto legal entre ambas partes contratantes, habida cuenta que la misma fue recepcionada por el empleado del destinatario en señal de conformidad de su recepción, situación fáctica que no invalida ni mucho menos resta eficacia a la notificación cuyo correcto diligenciamiento ha sido debidamente certificado por el Notario Público a cargo de la entrega del documento; y por el otro lado, que de la citada misiva se desprende que la Entidad requirió al Contratista el cumplimiento de sus prestaciones a cargo, de acuerdo a lo establecido en artículo 169 y 170 del Reglamento, normas que se precisaron en el mencionado requerimiento, y el cual dispone que ante el incumplimiento de obligaciones contractuales, la parte perjudicada resolverá el contrato en forma total o parcial, mediante carta notarial. </w:t>
      </w:r>
    </w:p>
    <w:p w:rsidR="005E6E6D" w:rsidRPr="00AE41DD" w:rsidRDefault="005E6E6D" w:rsidP="005E6E6D">
      <w:pPr>
        <w:pStyle w:val="Textoindependiente"/>
        <w:widowControl w:val="0"/>
        <w:suppressAutoHyphens/>
        <w:ind w:left="567"/>
        <w:rPr>
          <w:rFonts w:ascii="Tahoma" w:hAnsi="Tahoma" w:cs="Tahoma"/>
          <w:sz w:val="22"/>
          <w:szCs w:val="22"/>
        </w:rPr>
      </w:pPr>
    </w:p>
    <w:p w:rsidR="005E6E6D" w:rsidRPr="00AE41DD" w:rsidRDefault="005E6E6D" w:rsidP="005E6E6D">
      <w:pPr>
        <w:numPr>
          <w:ilvl w:val="0"/>
          <w:numId w:val="4"/>
        </w:numPr>
        <w:tabs>
          <w:tab w:val="left" w:pos="8280"/>
        </w:tabs>
        <w:ind w:left="567" w:hanging="567"/>
        <w:jc w:val="both"/>
        <w:rPr>
          <w:rFonts w:ascii="Tahoma" w:hAnsi="Tahoma" w:cs="Tahoma"/>
          <w:sz w:val="22"/>
          <w:szCs w:val="22"/>
        </w:rPr>
      </w:pPr>
      <w:r w:rsidRPr="00AE41DD">
        <w:rPr>
          <w:rFonts w:ascii="Tahoma" w:hAnsi="Tahoma" w:cs="Tahoma"/>
          <w:sz w:val="22"/>
          <w:szCs w:val="22"/>
        </w:rPr>
        <w:t>En esa medida, queda fehacientemente acreditado que el diligenciamiento de la  Carta Notarial № 893-2010-ENAPU S.A./GL de fecha 29 de septiembre de 2010 cumple con las formalidades que la Ley de la materia exige a efectos de que el Contratista cumpliera con sus obligaciones contractuales.</w:t>
      </w:r>
    </w:p>
    <w:p w:rsidR="005E6E6D" w:rsidRPr="00AE41DD" w:rsidRDefault="005E6E6D" w:rsidP="005E6E6D">
      <w:pPr>
        <w:pStyle w:val="Prrafodelista"/>
        <w:rPr>
          <w:rFonts w:ascii="Tahoma" w:hAnsi="Tahoma" w:cs="Tahoma"/>
          <w:sz w:val="22"/>
          <w:szCs w:val="22"/>
        </w:rPr>
      </w:pPr>
    </w:p>
    <w:p w:rsidR="005E6E6D" w:rsidRPr="00AE41DD" w:rsidRDefault="005E6E6D" w:rsidP="005E6E6D">
      <w:pPr>
        <w:numPr>
          <w:ilvl w:val="0"/>
          <w:numId w:val="4"/>
        </w:numPr>
        <w:tabs>
          <w:tab w:val="left" w:pos="8280"/>
        </w:tabs>
        <w:ind w:left="567" w:hanging="567"/>
        <w:jc w:val="both"/>
        <w:rPr>
          <w:rFonts w:ascii="Tahoma" w:hAnsi="Tahoma" w:cs="Tahoma"/>
          <w:sz w:val="22"/>
          <w:szCs w:val="22"/>
        </w:rPr>
      </w:pPr>
      <w:r w:rsidRPr="00AE41DD">
        <w:rPr>
          <w:rFonts w:ascii="Tahoma" w:hAnsi="Tahoma" w:cs="Tahoma"/>
          <w:sz w:val="22"/>
          <w:szCs w:val="22"/>
        </w:rPr>
        <w:t>En esa medida, corresponde a este Colegiado verificar si la carta que notificó la resolución del contrato se realizó de acuerdo a lo establecido en la normativa que rige las contrataciones públicas.</w:t>
      </w:r>
    </w:p>
    <w:p w:rsidR="005E6E6D" w:rsidRPr="00AE41DD" w:rsidRDefault="005E6E6D" w:rsidP="005E6E6D">
      <w:pPr>
        <w:pStyle w:val="Prrafodelista"/>
        <w:rPr>
          <w:rFonts w:ascii="Tahoma" w:hAnsi="Tahoma" w:cs="Tahoma"/>
          <w:sz w:val="22"/>
          <w:szCs w:val="22"/>
        </w:rPr>
      </w:pPr>
    </w:p>
    <w:p w:rsidR="005E6E6D" w:rsidRPr="00AE41DD" w:rsidRDefault="005E6E6D" w:rsidP="005E6E6D">
      <w:pPr>
        <w:numPr>
          <w:ilvl w:val="0"/>
          <w:numId w:val="4"/>
        </w:numPr>
        <w:tabs>
          <w:tab w:val="left" w:pos="8280"/>
        </w:tabs>
        <w:ind w:left="567" w:hanging="567"/>
        <w:jc w:val="both"/>
        <w:rPr>
          <w:rFonts w:ascii="Tahoma" w:hAnsi="Tahoma" w:cs="Tahoma"/>
          <w:sz w:val="22"/>
          <w:szCs w:val="22"/>
        </w:rPr>
      </w:pPr>
      <w:r w:rsidRPr="00AE41DD">
        <w:rPr>
          <w:rFonts w:ascii="Tahoma" w:hAnsi="Tahoma" w:cs="Tahoma"/>
          <w:sz w:val="22"/>
          <w:szCs w:val="22"/>
        </w:rPr>
        <w:t xml:space="preserve">Con relación a ello, fluye de la documentación obrante en autos, que al reverso de la certificación notarial de la Carta Notarial № 959-2010-ENAPU S.A./GL de fecha 22 de octubre de 2010, efectuada por el notario público encargado de su diligenciamiento, sito en: “Av. Colonial 4525, Of. 202, Carmen de la Legua - </w:t>
      </w:r>
      <w:r w:rsidRPr="00AE41DD">
        <w:rPr>
          <w:rFonts w:ascii="Tahoma" w:hAnsi="Tahoma" w:cs="Tahoma"/>
          <w:sz w:val="22"/>
          <w:szCs w:val="22"/>
        </w:rPr>
        <w:lastRenderedPageBreak/>
        <w:t>Callao” dejo constancia que ésta habría sido dejada debajo de la puerta del local en el cual se describe lo siguiente: “casa de 5 pisos, fachada de color marrón”.</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Textoindependiente"/>
        <w:widowControl w:val="0"/>
        <w:numPr>
          <w:ilvl w:val="0"/>
          <w:numId w:val="4"/>
        </w:numPr>
        <w:suppressAutoHyphens/>
        <w:spacing w:after="0"/>
        <w:ind w:left="567" w:hanging="567"/>
        <w:jc w:val="both"/>
        <w:rPr>
          <w:rFonts w:ascii="Tahoma" w:hAnsi="Tahoma" w:cs="Tahoma"/>
          <w:sz w:val="22"/>
          <w:szCs w:val="22"/>
        </w:rPr>
      </w:pPr>
      <w:r w:rsidRPr="00AE41DD">
        <w:rPr>
          <w:rFonts w:ascii="Tahoma" w:hAnsi="Tahoma" w:cs="Tahoma"/>
          <w:sz w:val="22"/>
          <w:szCs w:val="22"/>
        </w:rPr>
        <w:t>No obstante lo anterior, con relación a la idoneidad de la notificación realizada, el Contratista con ocasión de la presentación de sus descargos ha señalado que dicho documento no fue comunicado conforme a la Ley de Procedimiento Administrativo General. En ese sentido, cabe indicar que la normativa de contratación pública ha establecido que la carta que comunica la resolución del contrato debe ser canalizada a través de conducto notarial, entendiéndose que la formalidad que debe contener ésta notificación se sujetara a lo dispuesto por la normativa que regula la ley especial, Ley del Notariado - Decreto Legislativo № 1049.</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Textoindependiente"/>
        <w:widowControl w:val="0"/>
        <w:numPr>
          <w:ilvl w:val="0"/>
          <w:numId w:val="4"/>
        </w:numPr>
        <w:suppressAutoHyphens/>
        <w:spacing w:after="0"/>
        <w:ind w:left="567" w:hanging="567"/>
        <w:jc w:val="both"/>
        <w:rPr>
          <w:rFonts w:ascii="Tahoma" w:hAnsi="Tahoma" w:cs="Tahoma"/>
          <w:sz w:val="22"/>
          <w:szCs w:val="22"/>
        </w:rPr>
      </w:pPr>
      <w:r w:rsidRPr="00AE41DD">
        <w:rPr>
          <w:rFonts w:ascii="Tahoma" w:hAnsi="Tahoma" w:cs="Tahoma"/>
          <w:sz w:val="22"/>
          <w:szCs w:val="22"/>
        </w:rPr>
        <w:t xml:space="preserve">Así las cosas, cabe precisar que, de acuerdo al artículo 2 del Decreto Legislativo № 1049, </w:t>
      </w:r>
      <w:r w:rsidRPr="00AE41DD">
        <w:rPr>
          <w:rFonts w:ascii="Tahoma" w:hAnsi="Tahoma" w:cs="Tahoma"/>
          <w:color w:val="000000"/>
          <w:sz w:val="22"/>
          <w:szCs w:val="22"/>
        </w:rPr>
        <w:t>Ley del Notariado,</w:t>
      </w:r>
      <w:r w:rsidRPr="00AE41DD">
        <w:rPr>
          <w:rFonts w:ascii="Tahoma" w:hAnsi="Tahoma" w:cs="Tahoma"/>
          <w:b/>
          <w:sz w:val="22"/>
          <w:szCs w:val="22"/>
        </w:rPr>
        <w:t xml:space="preserve"> el Notario</w:t>
      </w:r>
      <w:r w:rsidRPr="00AE41DD">
        <w:rPr>
          <w:rFonts w:ascii="Tahoma" w:hAnsi="Tahoma" w:cs="Tahoma"/>
          <w:sz w:val="22"/>
          <w:szCs w:val="22"/>
        </w:rPr>
        <w:t xml:space="preserve"> es el profesional del derecho que </w:t>
      </w:r>
      <w:r w:rsidRPr="00AE41DD">
        <w:rPr>
          <w:rFonts w:ascii="Tahoma" w:hAnsi="Tahoma" w:cs="Tahoma"/>
          <w:b/>
          <w:sz w:val="22"/>
          <w:szCs w:val="22"/>
        </w:rPr>
        <w:t>está autorizado para dar fe de los actos</w:t>
      </w:r>
      <w:r w:rsidRPr="00AE41DD">
        <w:rPr>
          <w:rFonts w:ascii="Tahoma" w:hAnsi="Tahoma" w:cs="Tahoma"/>
          <w:sz w:val="22"/>
          <w:szCs w:val="22"/>
        </w:rPr>
        <w:t xml:space="preserve"> y contratos que ante él se celebran. Para ello formaliza la voluntad de los otorgantes, redactando los instrumentos a los que confiere autenticidad, conserva los originales y expide los traslados correspondientes. </w:t>
      </w:r>
      <w:r w:rsidRPr="00AE41DD">
        <w:rPr>
          <w:rFonts w:ascii="Tahoma" w:hAnsi="Tahoma" w:cs="Tahoma"/>
          <w:sz w:val="22"/>
          <w:szCs w:val="22"/>
          <w:u w:val="single"/>
        </w:rPr>
        <w:t>Su función también corresponde la comprobación de hechos</w:t>
      </w:r>
      <w:r w:rsidRPr="00AE41DD">
        <w:rPr>
          <w:rFonts w:ascii="Tahoma" w:hAnsi="Tahoma" w:cs="Tahoma"/>
          <w:sz w:val="22"/>
          <w:szCs w:val="22"/>
        </w:rPr>
        <w:t xml:space="preserve"> y la tramitación de asuntos no contenciosos previstos en la ley de la materia.</w:t>
      </w:r>
    </w:p>
    <w:p w:rsidR="005E6E6D" w:rsidRPr="00AE41DD" w:rsidRDefault="005E6E6D" w:rsidP="001D44C0">
      <w:pPr>
        <w:tabs>
          <w:tab w:val="num" w:pos="567"/>
        </w:tabs>
        <w:ind w:left="993"/>
        <w:jc w:val="both"/>
        <w:rPr>
          <w:rFonts w:ascii="Tahoma" w:hAnsi="Tahoma" w:cs="Tahoma"/>
          <w:sz w:val="22"/>
          <w:szCs w:val="22"/>
        </w:rPr>
      </w:pPr>
    </w:p>
    <w:p w:rsidR="005E6E6D" w:rsidRPr="00AE41DD" w:rsidRDefault="005E6E6D" w:rsidP="001D44C0">
      <w:pPr>
        <w:tabs>
          <w:tab w:val="left" w:pos="567"/>
        </w:tabs>
        <w:autoSpaceDE w:val="0"/>
        <w:autoSpaceDN w:val="0"/>
        <w:adjustRightInd w:val="0"/>
        <w:spacing w:after="240"/>
        <w:ind w:left="567" w:hanging="567"/>
        <w:jc w:val="both"/>
        <w:rPr>
          <w:rFonts w:ascii="Tahoma" w:hAnsi="Tahoma" w:cs="Tahoma"/>
          <w:color w:val="000000"/>
          <w:sz w:val="22"/>
          <w:szCs w:val="22"/>
        </w:rPr>
      </w:pPr>
      <w:r w:rsidRPr="00AE41DD">
        <w:rPr>
          <w:rFonts w:ascii="Tahoma" w:hAnsi="Tahoma" w:cs="Tahoma"/>
          <w:sz w:val="22"/>
          <w:szCs w:val="22"/>
        </w:rPr>
        <w:tab/>
        <w:t>Además, es menester</w:t>
      </w:r>
      <w:r w:rsidRPr="00AE41DD">
        <w:rPr>
          <w:rFonts w:ascii="Tahoma" w:hAnsi="Tahoma" w:cs="Tahoma"/>
          <w:color w:val="000000"/>
          <w:sz w:val="22"/>
          <w:szCs w:val="22"/>
        </w:rPr>
        <w:t xml:space="preserve"> anotar, que de acuerdo con los artículos 24, 26, 95 y 100 del citado Decreto Legislativo Nº 1049</w:t>
      </w:r>
      <w:r w:rsidRPr="00AE41DD">
        <w:rPr>
          <w:rStyle w:val="Refdenotaalpie"/>
          <w:rFonts w:ascii="Tahoma" w:hAnsi="Tahoma" w:cs="Tahoma"/>
          <w:color w:val="000000"/>
          <w:sz w:val="22"/>
          <w:szCs w:val="22"/>
        </w:rPr>
        <w:footnoteReference w:id="5"/>
      </w:r>
      <w:r w:rsidRPr="00AE41DD">
        <w:rPr>
          <w:rFonts w:ascii="Tahoma" w:hAnsi="Tahoma" w:cs="Tahoma"/>
          <w:color w:val="000000"/>
          <w:sz w:val="22"/>
          <w:szCs w:val="22"/>
        </w:rPr>
        <w:t xml:space="preserve">, la </w:t>
      </w:r>
      <w:r w:rsidRPr="00AE41DD">
        <w:rPr>
          <w:rFonts w:ascii="Tahoma" w:hAnsi="Tahoma" w:cs="Tahoma"/>
          <w:b/>
          <w:bCs/>
          <w:color w:val="000000"/>
          <w:sz w:val="22"/>
          <w:szCs w:val="22"/>
        </w:rPr>
        <w:t>entrega de cartas notariales</w:t>
      </w:r>
      <w:r w:rsidRPr="00AE41DD">
        <w:rPr>
          <w:rFonts w:ascii="Tahoma" w:hAnsi="Tahoma" w:cs="Tahoma"/>
          <w:color w:val="000000"/>
          <w:sz w:val="22"/>
          <w:szCs w:val="22"/>
        </w:rPr>
        <w:t xml:space="preserve"> por parte de los Notarios, constituye una de las </w:t>
      </w:r>
      <w:r w:rsidRPr="00AE41DD">
        <w:rPr>
          <w:rFonts w:ascii="Tahoma" w:hAnsi="Tahoma" w:cs="Tahoma"/>
          <w:b/>
          <w:bCs/>
          <w:i/>
          <w:iCs/>
          <w:color w:val="000000"/>
          <w:sz w:val="22"/>
          <w:szCs w:val="22"/>
        </w:rPr>
        <w:t>clases de certificaciones</w:t>
      </w:r>
      <w:r w:rsidRPr="00AE41DD">
        <w:rPr>
          <w:rFonts w:ascii="Tahoma" w:hAnsi="Tahoma" w:cs="Tahoma"/>
          <w:color w:val="000000"/>
          <w:sz w:val="22"/>
          <w:szCs w:val="22"/>
        </w:rPr>
        <w:t xml:space="preserve">, que a su vez, hacen parte de lo que se conoce como los </w:t>
      </w:r>
      <w:r w:rsidRPr="00AE41DD">
        <w:rPr>
          <w:rFonts w:ascii="Tahoma" w:hAnsi="Tahoma" w:cs="Tahoma"/>
          <w:b/>
          <w:bCs/>
          <w:color w:val="000000"/>
          <w:sz w:val="22"/>
          <w:szCs w:val="22"/>
        </w:rPr>
        <w:t>instrumentos públicos extraprotocolares</w:t>
      </w:r>
      <w:r w:rsidRPr="00AE41DD">
        <w:rPr>
          <w:rFonts w:ascii="Tahoma" w:hAnsi="Tahoma" w:cs="Tahoma"/>
          <w:color w:val="000000"/>
          <w:sz w:val="22"/>
          <w:szCs w:val="22"/>
        </w:rPr>
        <w:t xml:space="preserve">, y es una las certificaciones mediante las cuales los Notarios </w:t>
      </w:r>
      <w:r w:rsidRPr="00AE41DD">
        <w:rPr>
          <w:rFonts w:ascii="Tahoma" w:hAnsi="Tahoma" w:cs="Tahoma"/>
          <w:b/>
          <w:bCs/>
          <w:color w:val="000000"/>
          <w:sz w:val="22"/>
          <w:szCs w:val="22"/>
        </w:rPr>
        <w:t>dan fe pública</w:t>
      </w:r>
      <w:r w:rsidRPr="00AE41DD">
        <w:rPr>
          <w:rFonts w:ascii="Tahoma" w:hAnsi="Tahoma" w:cs="Tahoma"/>
          <w:color w:val="000000"/>
          <w:sz w:val="22"/>
          <w:szCs w:val="22"/>
        </w:rPr>
        <w:t xml:space="preserve"> respecto de los actos, hechos o circunstancias que presencian o que les constan por razón de su función.  Cabe señalar sobre el particular, que al </w:t>
      </w:r>
      <w:r w:rsidRPr="00AE41DD">
        <w:rPr>
          <w:rFonts w:ascii="Tahoma" w:hAnsi="Tahoma" w:cs="Tahoma"/>
          <w:color w:val="000000"/>
          <w:sz w:val="22"/>
          <w:szCs w:val="22"/>
        </w:rPr>
        <w:lastRenderedPageBreak/>
        <w:t xml:space="preserve">hacer esto, los Notarios legitiman y autentican los actos en los que intervienen, </w:t>
      </w:r>
      <w:r w:rsidRPr="00AE41DD">
        <w:rPr>
          <w:rFonts w:ascii="Tahoma" w:hAnsi="Tahoma" w:cs="Tahoma"/>
          <w:color w:val="000000"/>
          <w:sz w:val="22"/>
          <w:szCs w:val="22"/>
          <w:u w:val="single"/>
        </w:rPr>
        <w:t>revistiéndolos de fe pública</w:t>
      </w:r>
      <w:r w:rsidRPr="00AE41DD">
        <w:rPr>
          <w:rFonts w:ascii="Tahoma" w:hAnsi="Tahoma" w:cs="Tahoma"/>
          <w:color w:val="000000"/>
          <w:sz w:val="22"/>
          <w:szCs w:val="22"/>
        </w:rPr>
        <w:t xml:space="preserve">, la misma que les ha sido depositada por El Estado y que se manifiesta o materializa cuando éstos dejan constancia de un hecho, suceso, situación, acto o contrato jurídico.  De esta manera, en virtud de esa fe pública, </w:t>
      </w:r>
      <w:r w:rsidRPr="00AE41DD">
        <w:rPr>
          <w:rFonts w:ascii="Tahoma" w:hAnsi="Tahoma" w:cs="Tahoma"/>
          <w:b/>
          <w:color w:val="000000"/>
          <w:sz w:val="22"/>
          <w:szCs w:val="22"/>
          <w:u w:val="single"/>
        </w:rPr>
        <w:t>se presumen ciertas las manifestaciones de los Notarios que consten en los instrumentos y demás documentos autorizados por ellos.</w:t>
      </w:r>
    </w:p>
    <w:p w:rsidR="005E6E6D" w:rsidRPr="00AE41DD" w:rsidRDefault="005E6E6D" w:rsidP="001D44C0">
      <w:pPr>
        <w:autoSpaceDE w:val="0"/>
        <w:autoSpaceDN w:val="0"/>
        <w:adjustRightInd w:val="0"/>
        <w:spacing w:after="240"/>
        <w:ind w:left="567"/>
        <w:jc w:val="both"/>
        <w:rPr>
          <w:rFonts w:ascii="Tahoma" w:hAnsi="Tahoma" w:cs="Tahoma"/>
          <w:i/>
          <w:iCs/>
          <w:color w:val="000000"/>
          <w:sz w:val="22"/>
          <w:szCs w:val="22"/>
        </w:rPr>
      </w:pPr>
      <w:r w:rsidRPr="00AE41DD">
        <w:rPr>
          <w:rFonts w:ascii="Tahoma" w:hAnsi="Tahoma" w:cs="Tahoma"/>
          <w:color w:val="000000"/>
          <w:sz w:val="22"/>
          <w:szCs w:val="22"/>
        </w:rPr>
        <w:t xml:space="preserve">En adición a lo anterior, resulta esencial señalar, que la fe pública supone además, </w:t>
      </w:r>
      <w:r w:rsidRPr="00AE41DD">
        <w:rPr>
          <w:rFonts w:ascii="Tahoma" w:hAnsi="Tahoma" w:cs="Tahoma"/>
          <w:color w:val="000000"/>
          <w:sz w:val="22"/>
          <w:szCs w:val="22"/>
          <w:u w:val="single"/>
        </w:rPr>
        <w:t xml:space="preserve">exactitud de que lo narrado por el Notario resulta fiel al hecho por él presenciado; y también supone </w:t>
      </w:r>
      <w:r w:rsidRPr="00AE41DD">
        <w:rPr>
          <w:rFonts w:ascii="Tahoma" w:hAnsi="Tahoma" w:cs="Tahoma"/>
          <w:i/>
          <w:iCs/>
          <w:color w:val="000000"/>
          <w:sz w:val="22"/>
          <w:szCs w:val="22"/>
          <w:u w:val="single"/>
        </w:rPr>
        <w:t>integridad</w:t>
      </w:r>
      <w:r w:rsidRPr="00AE41DD">
        <w:rPr>
          <w:rFonts w:ascii="Tahoma" w:hAnsi="Tahoma" w:cs="Tahoma"/>
          <w:color w:val="000000"/>
          <w:sz w:val="22"/>
          <w:szCs w:val="22"/>
          <w:u w:val="single"/>
        </w:rPr>
        <w:t>, es decir, que lo narrado bajo fe pública se ubica en un tiempo y en un lugar determinado, y se preserva en el tiempo sin alteración en su contenido</w:t>
      </w:r>
      <w:r w:rsidRPr="00AE41DD">
        <w:rPr>
          <w:rFonts w:ascii="Tahoma" w:hAnsi="Tahoma" w:cs="Tahoma"/>
          <w:color w:val="000000"/>
          <w:sz w:val="22"/>
          <w:szCs w:val="22"/>
        </w:rPr>
        <w:t xml:space="preserve">.  Por lo tanto, la </w:t>
      </w:r>
      <w:r w:rsidRPr="00AE41DD">
        <w:rPr>
          <w:rFonts w:ascii="Tahoma" w:hAnsi="Tahoma" w:cs="Tahoma"/>
          <w:b/>
          <w:bCs/>
          <w:color w:val="000000"/>
          <w:sz w:val="22"/>
          <w:szCs w:val="22"/>
        </w:rPr>
        <w:t xml:space="preserve">eficacia de la fe pública es </w:t>
      </w:r>
      <w:r w:rsidRPr="00AE41DD">
        <w:rPr>
          <w:rFonts w:ascii="Tahoma" w:hAnsi="Tahoma" w:cs="Tahoma"/>
          <w:b/>
          <w:bCs/>
          <w:i/>
          <w:iCs/>
          <w:color w:val="000000"/>
          <w:sz w:val="22"/>
          <w:szCs w:val="22"/>
        </w:rPr>
        <w:t>erga omnes</w:t>
      </w:r>
      <w:r w:rsidRPr="00AE41DD">
        <w:rPr>
          <w:rFonts w:ascii="Tahoma" w:hAnsi="Tahoma" w:cs="Tahoma"/>
          <w:color w:val="000000"/>
          <w:sz w:val="22"/>
          <w:szCs w:val="22"/>
        </w:rPr>
        <w:t xml:space="preserve">, y por ese motivo, es oponible a terceros no relacionados con el instrumento en que se hubiere vertido dicha fe, ya que las manifestaciones que en él obran, </w:t>
      </w:r>
      <w:r w:rsidRPr="00AE41DD">
        <w:rPr>
          <w:rFonts w:ascii="Tahoma" w:hAnsi="Tahoma" w:cs="Tahoma"/>
          <w:b/>
          <w:color w:val="000000"/>
          <w:sz w:val="22"/>
          <w:szCs w:val="22"/>
        </w:rPr>
        <w:t>cobran fuerza probatoria por sí mismas</w:t>
      </w:r>
      <w:r w:rsidRPr="00AE41DD">
        <w:rPr>
          <w:rFonts w:ascii="Tahoma" w:hAnsi="Tahoma" w:cs="Tahoma"/>
          <w:color w:val="000000"/>
          <w:sz w:val="22"/>
          <w:szCs w:val="22"/>
        </w:rPr>
        <w:t xml:space="preserve">, tal como señala Salas Marrero: “(…) </w:t>
      </w:r>
      <w:r w:rsidRPr="00AE41DD">
        <w:rPr>
          <w:rFonts w:ascii="Tahoma" w:hAnsi="Tahoma" w:cs="Tahoma"/>
          <w:i/>
          <w:iCs/>
          <w:color w:val="000000"/>
          <w:sz w:val="22"/>
          <w:szCs w:val="22"/>
        </w:rPr>
        <w:t>el fundamento de la fe pública notarial</w:t>
      </w:r>
      <w:r w:rsidRPr="00AE41DD">
        <w:rPr>
          <w:rFonts w:ascii="Tahoma" w:hAnsi="Tahoma" w:cs="Tahoma"/>
          <w:color w:val="000000"/>
          <w:sz w:val="22"/>
          <w:szCs w:val="22"/>
        </w:rPr>
        <w:t xml:space="preserve"> </w:t>
      </w:r>
      <w:r w:rsidRPr="00AE41DD">
        <w:rPr>
          <w:rFonts w:ascii="Tahoma" w:hAnsi="Tahoma" w:cs="Tahoma"/>
          <w:i/>
          <w:iCs/>
          <w:color w:val="000000"/>
          <w:sz w:val="22"/>
          <w:szCs w:val="22"/>
        </w:rPr>
        <w:t>radica en el deber del Estado, como resguardador de la paz social, de proteger los derechos subjetivos, evitando que surjan contiendas que requieran la intervención de los tribunales.  Para llevar a cabo tal protección, el Estado necesita conocer con certeza los derechos sobre los que debe ejercerse esa tutela, impidiendo que se niegue su existencia y garantizando su efectividad, necesidad que viene a llenar la fe pública notarial</w:t>
      </w:r>
      <w:r w:rsidRPr="00AE41DD">
        <w:rPr>
          <w:rFonts w:ascii="Tahoma" w:hAnsi="Tahoma" w:cs="Tahoma"/>
          <w:color w:val="000000"/>
          <w:sz w:val="22"/>
          <w:szCs w:val="22"/>
        </w:rPr>
        <w:t>”</w:t>
      </w:r>
      <w:r w:rsidRPr="00AE41DD">
        <w:rPr>
          <w:rStyle w:val="Refdenotaalpie"/>
          <w:rFonts w:ascii="Tahoma" w:hAnsi="Tahoma" w:cs="Tahoma"/>
          <w:color w:val="000000"/>
          <w:sz w:val="22"/>
          <w:szCs w:val="22"/>
        </w:rPr>
        <w:footnoteReference w:id="6"/>
      </w:r>
      <w:r w:rsidRPr="00AE41DD">
        <w:rPr>
          <w:rFonts w:ascii="Tahoma" w:hAnsi="Tahoma" w:cs="Tahoma"/>
          <w:color w:val="000000"/>
          <w:sz w:val="22"/>
          <w:szCs w:val="22"/>
        </w:rPr>
        <w:t>.</w:t>
      </w:r>
    </w:p>
    <w:p w:rsidR="005E6E6D" w:rsidRPr="00AE41DD" w:rsidRDefault="005E6E6D" w:rsidP="005E6E6D">
      <w:pPr>
        <w:pStyle w:val="Prrafodelista"/>
        <w:numPr>
          <w:ilvl w:val="0"/>
          <w:numId w:val="4"/>
        </w:numPr>
        <w:autoSpaceDE w:val="0"/>
        <w:autoSpaceDN w:val="0"/>
        <w:adjustRightInd w:val="0"/>
        <w:ind w:left="567" w:hanging="567"/>
        <w:contextualSpacing w:val="0"/>
        <w:jc w:val="both"/>
        <w:rPr>
          <w:rFonts w:ascii="Tahoma" w:hAnsi="Tahoma" w:cs="Tahoma"/>
          <w:i/>
          <w:iCs/>
          <w:color w:val="000000"/>
          <w:sz w:val="22"/>
          <w:szCs w:val="22"/>
        </w:rPr>
      </w:pPr>
      <w:r w:rsidRPr="00AE41DD">
        <w:rPr>
          <w:rFonts w:ascii="Tahoma" w:hAnsi="Tahoma" w:cs="Tahoma"/>
          <w:color w:val="000000"/>
          <w:sz w:val="22"/>
          <w:szCs w:val="22"/>
        </w:rPr>
        <w:t xml:space="preserve">Es importante además indicar que la observancia de las reglas de notificación que son aplicables a cada supuesto específico, en este caso las de la normativa que rigen las actuaciones notariales, constituye un elemento esencial para que el acto de notificación surta todos sus efectos y esté en armonía con el </w:t>
      </w:r>
      <w:r w:rsidRPr="00AE41DD">
        <w:rPr>
          <w:rFonts w:ascii="Tahoma" w:hAnsi="Tahoma" w:cs="Tahoma"/>
          <w:b/>
          <w:bCs/>
          <w:i/>
          <w:iCs/>
          <w:color w:val="000000"/>
          <w:sz w:val="22"/>
          <w:szCs w:val="22"/>
        </w:rPr>
        <w:t>derecho al debido procedimiento</w:t>
      </w:r>
      <w:r w:rsidRPr="00AE41DD">
        <w:rPr>
          <w:rFonts w:ascii="Tahoma" w:hAnsi="Tahoma" w:cs="Tahoma"/>
          <w:color w:val="000000"/>
          <w:sz w:val="22"/>
          <w:szCs w:val="22"/>
        </w:rPr>
        <w:t xml:space="preserve"> que le asiste a todo administrado.  Al respecto, es relevante el reiterar el criterio establecido en la Sentencia № 2095-2005-PA/TC emitida por el Tribunal Constitucional el 19 de mayo de 2005, y ratificado en la STC 06760-2008-AA, que en torno a este tema señala lo siguiente: “(…) </w:t>
      </w:r>
      <w:r w:rsidRPr="00AE41DD">
        <w:rPr>
          <w:rFonts w:ascii="Tahoma" w:hAnsi="Tahoma" w:cs="Tahoma"/>
          <w:i/>
          <w:iCs/>
          <w:color w:val="000000"/>
          <w:sz w:val="22"/>
          <w:szCs w:val="22"/>
        </w:rPr>
        <w:t>resulta necesario diferenciar dos cuestiones concernientes a la notificación de los actos administrativos: a) el lugar donde debe realizarse la notificación; y, b) la forma en que dicha notificación debe efectuarse. Sin duda, esta salvedad reviste especial relevancia, por cuanto con una debida notificación –</w:t>
      </w:r>
      <w:r w:rsidRPr="00AE41DD">
        <w:rPr>
          <w:rFonts w:ascii="Tahoma" w:hAnsi="Tahoma" w:cs="Tahoma"/>
          <w:b/>
          <w:bCs/>
          <w:i/>
          <w:iCs/>
          <w:color w:val="000000"/>
          <w:sz w:val="22"/>
          <w:szCs w:val="22"/>
        </w:rPr>
        <w:t>entendida como aquella ajustada a lo dispuesto en las normas aplicables al caso</w:t>
      </w:r>
      <w:r w:rsidRPr="00AE41DD">
        <w:rPr>
          <w:rFonts w:ascii="Tahoma" w:hAnsi="Tahoma" w:cs="Tahoma"/>
          <w:i/>
          <w:iCs/>
          <w:color w:val="000000"/>
          <w:sz w:val="22"/>
          <w:szCs w:val="22"/>
        </w:rPr>
        <w:t>–, el administrado podrá ver garantizado su derecho al debido procedimiento administrativo, especialmente en lo que respecta al derecho de defensa, pudiendo, de este modo, tomar conocimiento de los actos administrativos en su contra e impugnarlos de manera oportuna”.</w:t>
      </w:r>
    </w:p>
    <w:p w:rsidR="005E6E6D" w:rsidRPr="00AE41DD" w:rsidRDefault="005E6E6D" w:rsidP="005E6E6D">
      <w:pPr>
        <w:pStyle w:val="Prrafodelista"/>
        <w:autoSpaceDE w:val="0"/>
        <w:autoSpaceDN w:val="0"/>
        <w:adjustRightInd w:val="0"/>
        <w:ind w:left="567"/>
        <w:rPr>
          <w:rFonts w:ascii="Tahoma" w:hAnsi="Tahoma" w:cs="Tahoma"/>
          <w:i/>
          <w:iCs/>
          <w:color w:val="000000"/>
          <w:sz w:val="22"/>
          <w:szCs w:val="22"/>
        </w:rPr>
      </w:pPr>
    </w:p>
    <w:p w:rsidR="005E6E6D" w:rsidRPr="00AE41DD" w:rsidRDefault="005E6E6D" w:rsidP="005E6E6D">
      <w:pPr>
        <w:pStyle w:val="Textonotapie"/>
        <w:numPr>
          <w:ilvl w:val="0"/>
          <w:numId w:val="4"/>
        </w:numPr>
        <w:ind w:left="567" w:hanging="567"/>
        <w:jc w:val="both"/>
        <w:rPr>
          <w:rFonts w:ascii="Tahoma" w:hAnsi="Tahoma" w:cs="Tahoma"/>
          <w:sz w:val="22"/>
          <w:szCs w:val="22"/>
        </w:rPr>
      </w:pPr>
      <w:r w:rsidRPr="00AE41DD">
        <w:rPr>
          <w:rFonts w:ascii="Tahoma" w:hAnsi="Tahoma" w:cs="Tahoma"/>
          <w:sz w:val="22"/>
          <w:szCs w:val="22"/>
        </w:rPr>
        <w:lastRenderedPageBreak/>
        <w:t xml:space="preserve">En ese orden de ideas, queda claro que las diligencias de las comunicaciones notariales –regulado por el Decreto Legislativo № 1049, Ley del Notario–, prevalece sobre la Ley № 27444, Ley del procedimiento Administrativo General, ello en atención al </w:t>
      </w:r>
      <w:r w:rsidRPr="00AE41DD">
        <w:rPr>
          <w:rFonts w:ascii="Tahoma" w:hAnsi="Tahoma" w:cs="Tahoma"/>
          <w:i/>
          <w:sz w:val="22"/>
          <w:szCs w:val="22"/>
        </w:rPr>
        <w:t>Principio de Especificidad</w:t>
      </w:r>
      <w:r w:rsidRPr="00AE41DD">
        <w:rPr>
          <w:rFonts w:ascii="Tahoma" w:hAnsi="Tahoma" w:cs="Tahoma"/>
          <w:sz w:val="22"/>
          <w:szCs w:val="22"/>
        </w:rPr>
        <w:t>. Dicho principio establece que un precepto de contenido especial, prima sobre el de mero criterio general, lo que implica que cuando dos normas de similar jerarquía establecen disposiciones contrarias o alternativas, pero una es aplicable a un aspecto más general de situación y la otra a un aspecto restringido, prima ésta en su campo específico. Es preciso señalar que, este criterio surge de conformidad con lo dispuesto en el inciso 8 del artículo 139 de la Constitución y el artículo 8 del Título Preliminar del Código Civil, que dan fuerza de ley a los principios generales del Derecho en aquellos casos de defecto o vacío legislativo.</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2"/>
          <w:szCs w:val="22"/>
        </w:rPr>
      </w:pPr>
      <w:r w:rsidRPr="00AE41DD">
        <w:rPr>
          <w:rFonts w:ascii="Tahoma" w:hAnsi="Tahoma" w:cs="Tahoma"/>
          <w:sz w:val="22"/>
          <w:szCs w:val="22"/>
        </w:rPr>
        <w:t xml:space="preserve">Consecuentemente, de acuerdo a la información proporcionada por </w:t>
      </w:r>
      <w:r w:rsidRPr="00AE41DD">
        <w:rPr>
          <w:rFonts w:ascii="Tahoma" w:hAnsi="Tahoma" w:cs="Tahoma"/>
          <w:sz w:val="22"/>
          <w:szCs w:val="22"/>
          <w:lang w:eastAsia="es-PE"/>
        </w:rPr>
        <w:t xml:space="preserve">el Notario Rafael Rivero Castillo, a través </w:t>
      </w:r>
      <w:r w:rsidRPr="00AE41DD">
        <w:rPr>
          <w:rFonts w:ascii="Tahoma" w:hAnsi="Tahoma" w:cs="Tahoma"/>
          <w:sz w:val="22"/>
          <w:szCs w:val="22"/>
        </w:rPr>
        <w:t xml:space="preserve">de la Carta s/n presentada el 05 de mayo de 2011, </w:t>
      </w:r>
      <w:r w:rsidRPr="00AE41DD">
        <w:rPr>
          <w:rFonts w:ascii="Tahoma" w:hAnsi="Tahoma" w:cs="Tahoma"/>
          <w:sz w:val="22"/>
          <w:szCs w:val="22"/>
          <w:lang w:eastAsia="es-PE"/>
        </w:rPr>
        <w:t>en la cual manifestó que la Carta Notarial № 959-2010-ENAPU S.A./GL, cursada al Contratista, se diligenció conforme aparece en la certificación de fecha 25 de octubre de 2010, de acuerdo a lo estipulado en el artículo 100 del Decreto Legislativo del Notariado</w:t>
      </w:r>
      <w:r w:rsidRPr="00AE41DD">
        <w:rPr>
          <w:rFonts w:ascii="Tahoma" w:hAnsi="Tahoma" w:cs="Tahoma"/>
          <w:sz w:val="22"/>
          <w:szCs w:val="22"/>
        </w:rPr>
        <w:t>, situación fáctica que ha acreditado que la Entidad cumplió con notificarle la resolución del contrato vía conducto notarial de acuerdo a la formalidad establecidas en el articulo 168 y 169 del Reglamento, requisito indispensable de verificación del cumplimiento del debido procedimiento de resolución de contrato, a fin que la resolución del contrato por causa atribuible al Contratista - sea típica.</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2"/>
          <w:szCs w:val="22"/>
        </w:rPr>
      </w:pPr>
      <w:r w:rsidRPr="00AE41DD">
        <w:rPr>
          <w:rFonts w:ascii="Tahoma" w:hAnsi="Tahoma" w:cs="Tahoma"/>
          <w:sz w:val="22"/>
          <w:szCs w:val="22"/>
        </w:rPr>
        <w:t>Al respecto, cabe recalcar que de acuerdo a lo establecido por la norma aplicable, las controversias que surjan entre las partes sobre la ejecución, interpretación, resolución, inexistencia, ineficacia o invalidez del contrato se resolverán mediante conciliación y/o arbitraje, según el acuerdo de las partes, siendo que la parte que se tiene por afectada, tiene el derecho de solicitar su inicio</w:t>
      </w:r>
      <w:r w:rsidRPr="00AE41DD">
        <w:rPr>
          <w:rStyle w:val="Refdenotaalpie"/>
          <w:rFonts w:ascii="Tahoma" w:eastAsia="Calibri" w:hAnsi="Tahoma" w:cs="Tahoma"/>
          <w:sz w:val="22"/>
          <w:szCs w:val="22"/>
        </w:rPr>
        <w:footnoteReference w:id="7"/>
      </w:r>
      <w:r w:rsidRPr="00AE41DD">
        <w:rPr>
          <w:rFonts w:ascii="Tahoma" w:hAnsi="Tahoma" w:cs="Tahoma"/>
          <w:sz w:val="22"/>
          <w:szCs w:val="22"/>
        </w:rPr>
        <w:t>.  Entonces, considerando que la Entidad en su escrito de fecha 04 de marzo de 2011, informó que el Contratista no solicitó discutir la resolución del contrato dentro de los plazos establecidos en la norma conforme a su derecho, debe entenderse que la misma quedó consentida.</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2"/>
          <w:szCs w:val="22"/>
        </w:rPr>
      </w:pPr>
      <w:r w:rsidRPr="00AE41DD">
        <w:rPr>
          <w:rFonts w:ascii="Tahoma" w:hAnsi="Tahoma" w:cs="Tahoma"/>
          <w:sz w:val="22"/>
          <w:szCs w:val="22"/>
        </w:rPr>
        <w:t>Habiendo dilucidado el aspecto formal y procedimental de la resolución contractual bajo examen</w:t>
      </w:r>
      <w:r w:rsidRPr="00AE41DD">
        <w:rPr>
          <w:rFonts w:ascii="Tahoma" w:hAnsi="Tahoma" w:cs="Tahoma"/>
          <w:sz w:val="22"/>
          <w:szCs w:val="22"/>
          <w:lang w:val="es-PE"/>
        </w:rPr>
        <w:t xml:space="preserve">, corresponde determinar si la Contratista es responsable de dicha </w:t>
      </w:r>
      <w:r w:rsidRPr="00AE41DD">
        <w:rPr>
          <w:rFonts w:ascii="Tahoma" w:hAnsi="Tahoma" w:cs="Tahoma"/>
          <w:sz w:val="22"/>
          <w:szCs w:val="22"/>
          <w:lang w:val="es-PE"/>
        </w:rPr>
        <w:lastRenderedPageBreak/>
        <w:t xml:space="preserve">resolución por el incumplimiento injustificado de sus obligaciones contractuales, ya que </w:t>
      </w:r>
      <w:r w:rsidRPr="00AE41DD">
        <w:rPr>
          <w:rFonts w:ascii="Tahoma" w:hAnsi="Tahoma" w:cs="Tahoma"/>
          <w:sz w:val="22"/>
          <w:szCs w:val="22"/>
        </w:rPr>
        <w:t>en el supuesto de haberse producido por razones de caso fortuito o fuerza mayor, nos encontraríamos ante una causa justificante de la inejecución de las prestaciones a su cargo.</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msonormalcxspmiddle"/>
        <w:numPr>
          <w:ilvl w:val="0"/>
          <w:numId w:val="4"/>
        </w:numPr>
        <w:spacing w:before="0" w:beforeAutospacing="0" w:after="0" w:afterAutospacing="0"/>
        <w:ind w:left="567" w:hanging="567"/>
        <w:contextualSpacing/>
        <w:jc w:val="both"/>
        <w:rPr>
          <w:rFonts w:ascii="Tahoma" w:hAnsi="Tahoma" w:cs="Tahoma"/>
          <w:i/>
          <w:sz w:val="22"/>
          <w:szCs w:val="22"/>
        </w:rPr>
      </w:pPr>
      <w:r w:rsidRPr="00AE41DD">
        <w:rPr>
          <w:rFonts w:ascii="Tahoma" w:hAnsi="Tahoma" w:cs="Tahoma"/>
          <w:sz w:val="22"/>
          <w:szCs w:val="22"/>
        </w:rPr>
        <w:t>Así, pues, conforme a lo establecido en el artículo 50 de la Ley, los contratistas están obligados a cumplir cabalmente con lo ofrecido en su propuesta y en cualquier manifestación formal documentada, que hayan aportado adicionalmente en el curso del proceso de selección o en la formalización del contrato. En esta misma línea, el artículo 201 del Reglamento prevé que el contrato es obligatorio para las partes que lo suscriben. Por ello, el contrato constituye la fuente de obligación de las partes contratantes, la cual está constituida en el mandato legal, reglamentario, las bases integradas y la oferta ganadora, por lo que debe ser atendido tanto por el Contratista como por la Entidad, debido a que su formalización constituye una declaración de voluntad y al estar debidamente perfeccionado, tiene fuerza de Ley.</w:t>
      </w:r>
    </w:p>
    <w:p w:rsidR="005E6E6D" w:rsidRPr="00AE41DD" w:rsidRDefault="005E6E6D" w:rsidP="005E6E6D">
      <w:pPr>
        <w:pStyle w:val="msonormalcxspmiddle"/>
        <w:spacing w:before="0" w:beforeAutospacing="0" w:after="0" w:afterAutospacing="0"/>
        <w:ind w:left="567"/>
        <w:contextualSpacing/>
        <w:jc w:val="both"/>
        <w:rPr>
          <w:rFonts w:ascii="Tahoma" w:hAnsi="Tahoma" w:cs="Tahoma"/>
          <w:i/>
          <w:sz w:val="22"/>
          <w:szCs w:val="22"/>
        </w:rPr>
      </w:pPr>
    </w:p>
    <w:p w:rsidR="005E6E6D" w:rsidRPr="00AE41DD" w:rsidRDefault="005E6E6D" w:rsidP="005E6E6D">
      <w:pPr>
        <w:pStyle w:val="Textoindependiente"/>
        <w:widowControl w:val="0"/>
        <w:numPr>
          <w:ilvl w:val="0"/>
          <w:numId w:val="4"/>
        </w:numPr>
        <w:tabs>
          <w:tab w:val="num" w:pos="567"/>
        </w:tabs>
        <w:suppressAutoHyphens/>
        <w:spacing w:after="0"/>
        <w:ind w:left="567" w:hanging="567"/>
        <w:jc w:val="both"/>
        <w:rPr>
          <w:rFonts w:ascii="Tahoma" w:hAnsi="Tahoma" w:cs="Tahoma"/>
          <w:sz w:val="22"/>
          <w:szCs w:val="22"/>
        </w:rPr>
      </w:pPr>
      <w:r w:rsidRPr="00AE41DD">
        <w:rPr>
          <w:rFonts w:ascii="Tahoma" w:hAnsi="Tahoma" w:cs="Tahoma"/>
          <w:sz w:val="22"/>
          <w:szCs w:val="22"/>
        </w:rPr>
        <w:t>En el presente caso, se desprende de los actuados que el Contratista, pese a haber tomado conocimiento de las observaciones planteadas por la Entidad, referidas al incumplimiento de sus obligaciones contractuales, no habría cumplido con brindar el servicio de refacción del muro perimétrico de la Entidad, hecho que ha desencadenado la resolución del contrato por supuesta causal atribuible al Contratista.</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Textoindependiente"/>
        <w:widowControl w:val="0"/>
        <w:numPr>
          <w:ilvl w:val="0"/>
          <w:numId w:val="4"/>
        </w:numPr>
        <w:tabs>
          <w:tab w:val="num" w:pos="567"/>
        </w:tabs>
        <w:suppressAutoHyphens/>
        <w:spacing w:after="0"/>
        <w:ind w:left="567" w:hanging="567"/>
        <w:jc w:val="both"/>
        <w:rPr>
          <w:rFonts w:ascii="Tahoma" w:hAnsi="Tahoma" w:cs="Tahoma"/>
          <w:sz w:val="22"/>
          <w:szCs w:val="22"/>
        </w:rPr>
      </w:pPr>
      <w:r w:rsidRPr="00AE41DD">
        <w:rPr>
          <w:rFonts w:ascii="Tahoma" w:hAnsi="Tahoma" w:cs="Tahoma"/>
          <w:sz w:val="22"/>
          <w:szCs w:val="22"/>
        </w:rPr>
        <w:t>Sobre la base de lo expuesto, en virtud al derecho de defensa que ampara al administrado, el Contratista presentó sus descargos manifestando que no se había negado a cumplir con sus prestaciones a cargo, sino por el contrario desde el inicio de la ejecución contractual, informó a la Entidad las razones por las que no podía dar iniciar el servicio contrato.</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Textoindependiente"/>
        <w:widowControl w:val="0"/>
        <w:numPr>
          <w:ilvl w:val="0"/>
          <w:numId w:val="4"/>
        </w:numPr>
        <w:tabs>
          <w:tab w:val="num" w:pos="567"/>
        </w:tabs>
        <w:suppressAutoHyphens/>
        <w:spacing w:after="0"/>
        <w:ind w:left="567" w:hanging="567"/>
        <w:jc w:val="both"/>
        <w:rPr>
          <w:rFonts w:ascii="Tahoma" w:hAnsi="Tahoma" w:cs="Tahoma"/>
          <w:sz w:val="22"/>
          <w:szCs w:val="22"/>
        </w:rPr>
      </w:pPr>
      <w:r w:rsidRPr="00AE41DD">
        <w:rPr>
          <w:rFonts w:ascii="Tahoma" w:hAnsi="Tahoma" w:cs="Tahoma"/>
          <w:sz w:val="22"/>
          <w:szCs w:val="22"/>
        </w:rPr>
        <w:t>Sobre el particular, en principio es pertinente tener en consideración que el Contratista a través de la Declaración Jurada de Plazo de Prestación del Servicio ofertó que el servicio objeto del proceso de selección se prestaría en el plazo de treinta (30) días calendario</w:t>
      </w:r>
      <w:r w:rsidRPr="00AE41DD">
        <w:rPr>
          <w:rFonts w:ascii="Tahoma" w:hAnsi="Tahoma" w:cs="Tahoma"/>
          <w:sz w:val="22"/>
          <w:szCs w:val="22"/>
          <w:lang w:val="es-ES_tradnl"/>
        </w:rPr>
        <w:t xml:space="preserve">. </w:t>
      </w:r>
      <w:r w:rsidRPr="00AE41DD">
        <w:rPr>
          <w:rFonts w:ascii="Tahoma" w:hAnsi="Tahoma" w:cs="Tahoma"/>
          <w:sz w:val="22"/>
          <w:szCs w:val="22"/>
          <w:lang w:val="es-MX"/>
        </w:rPr>
        <w:t xml:space="preserve">De esta manera, en la Cláusula Sexta del Contrato № 020-2010-ENAPU S.A./GL de fecha 05 de febrero de 2010, se estableció que el plazo de ejecución </w:t>
      </w:r>
      <w:r w:rsidRPr="00AE41DD">
        <w:rPr>
          <w:rFonts w:ascii="Tahoma" w:hAnsi="Tahoma" w:cs="Tahoma"/>
          <w:sz w:val="22"/>
          <w:szCs w:val="22"/>
        </w:rPr>
        <w:t>contractual sería de treinta (30) días calendarios y se extendería desde la entrega de la zona de trabajo del cerco perimétrico del Terminal Portuario del Callao, hasta la cancelación del último pago por la prestación del servicio.</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Textoindependiente"/>
        <w:widowControl w:val="0"/>
        <w:numPr>
          <w:ilvl w:val="0"/>
          <w:numId w:val="4"/>
        </w:numPr>
        <w:tabs>
          <w:tab w:val="num" w:pos="567"/>
        </w:tabs>
        <w:suppressAutoHyphens/>
        <w:spacing w:after="0"/>
        <w:ind w:left="567" w:hanging="567"/>
        <w:jc w:val="both"/>
        <w:rPr>
          <w:rFonts w:ascii="Tahoma" w:hAnsi="Tahoma" w:cs="Tahoma"/>
          <w:sz w:val="22"/>
          <w:szCs w:val="22"/>
        </w:rPr>
      </w:pPr>
      <w:r w:rsidRPr="00AE41DD">
        <w:rPr>
          <w:rFonts w:ascii="Tahoma" w:hAnsi="Tahoma" w:cs="Tahoma"/>
          <w:sz w:val="22"/>
          <w:szCs w:val="22"/>
        </w:rPr>
        <w:t xml:space="preserve">Así, pues, fluye de la documentación obrante en autos, la Carta № 020-2010 presentada por el Contratista el 03 de marzo de 2010, mediante la cual comunicó </w:t>
      </w:r>
      <w:r w:rsidRPr="00AE41DD">
        <w:rPr>
          <w:rFonts w:ascii="Tahoma" w:hAnsi="Tahoma" w:cs="Tahoma"/>
          <w:sz w:val="22"/>
          <w:szCs w:val="22"/>
        </w:rPr>
        <w:lastRenderedPageBreak/>
        <w:t>a la Entidad que se había apersonado a las instalaciones se su Institución con el fin de prestar el servicio ofertado, sin embargo, en el cerco perimétrico existía una línea de cerco eléctrico, circunstancia que no permitía iniciar la ejecución del servicio. En esa medida, ante lo manifestado por el Contratista en la mencionada misiva, y a tenor de la Cláusula Sexta del contrato citado, la Entidad procedió a desactivar el cerco electrónico de seguridad ubicado en la zona del área de transporte, hecho fáctico que fue comunicado al Contratista a través de la Carta Notarial № 550-2010-ENAPU S.A./GL de fecha 30 de junio de 2010, diligenciada el 02 de julio del mismo año, solicitándole además que cumpla con iniciar los trabajos contratados de acuerdo al contrato suscrito.</w:t>
      </w:r>
    </w:p>
    <w:p w:rsidR="005E6E6D" w:rsidRPr="00AE41DD" w:rsidRDefault="005E6E6D" w:rsidP="005E6E6D">
      <w:pPr>
        <w:pStyle w:val="Textoindependiente"/>
        <w:widowControl w:val="0"/>
        <w:suppressAutoHyphens/>
        <w:ind w:left="567"/>
        <w:rPr>
          <w:rFonts w:ascii="Tahoma" w:hAnsi="Tahoma" w:cs="Tahoma"/>
          <w:sz w:val="22"/>
          <w:szCs w:val="22"/>
        </w:rPr>
      </w:pPr>
    </w:p>
    <w:p w:rsidR="005E6E6D" w:rsidRPr="00AE41DD" w:rsidRDefault="005E6E6D" w:rsidP="005E6E6D">
      <w:pPr>
        <w:pStyle w:val="Textoindependiente"/>
        <w:widowControl w:val="0"/>
        <w:numPr>
          <w:ilvl w:val="0"/>
          <w:numId w:val="4"/>
        </w:numPr>
        <w:tabs>
          <w:tab w:val="num" w:pos="567"/>
        </w:tabs>
        <w:suppressAutoHyphens/>
        <w:spacing w:after="0"/>
        <w:ind w:left="567" w:hanging="567"/>
        <w:jc w:val="both"/>
        <w:rPr>
          <w:rFonts w:ascii="Tahoma" w:hAnsi="Tahoma" w:cs="Tahoma"/>
          <w:sz w:val="22"/>
          <w:szCs w:val="22"/>
        </w:rPr>
      </w:pPr>
      <w:r w:rsidRPr="00AE41DD">
        <w:rPr>
          <w:rFonts w:ascii="Tahoma" w:hAnsi="Tahoma" w:cs="Tahoma"/>
          <w:sz w:val="22"/>
          <w:szCs w:val="22"/>
        </w:rPr>
        <w:t>Nótese, entonces que la fecha de inicio de ejecución contractual data desde el 02 de julio de 2010, y de término el 02 de agosto del mismo año</w:t>
      </w:r>
      <w:r w:rsidRPr="00AE41DD">
        <w:rPr>
          <w:rFonts w:ascii="Tahoma" w:hAnsi="Tahoma" w:cs="Tahoma"/>
          <w:sz w:val="22"/>
          <w:szCs w:val="22"/>
          <w:lang w:val="es-MX"/>
        </w:rPr>
        <w:t xml:space="preserve">. Dicho lo cual, es relevante señalar que en esta última fecha el Contratista no cumplió  con brindar el servicio </w:t>
      </w:r>
      <w:r w:rsidRPr="00AE41DD">
        <w:rPr>
          <w:rFonts w:ascii="Tahoma" w:hAnsi="Tahoma" w:cs="Tahoma"/>
          <w:sz w:val="22"/>
          <w:szCs w:val="22"/>
        </w:rPr>
        <w:t>de refacción del muro perimétrico</w:t>
      </w:r>
      <w:r w:rsidRPr="00AE41DD">
        <w:rPr>
          <w:rFonts w:ascii="Tahoma" w:hAnsi="Tahoma" w:cs="Tahoma"/>
          <w:sz w:val="22"/>
          <w:szCs w:val="22"/>
          <w:lang w:val="es-MX"/>
        </w:rPr>
        <w:t>, lo cual, es posible inferir a través de las comunicaciones cursadas por la Entidad al Contratista, en las cuales ésta le requirió el cumplimiento de sus obligaciones.</w:t>
      </w:r>
    </w:p>
    <w:p w:rsidR="001D44C0" w:rsidRPr="00AE41DD" w:rsidRDefault="001D44C0" w:rsidP="001D44C0">
      <w:pPr>
        <w:pStyle w:val="Prrafodelista"/>
        <w:rPr>
          <w:rFonts w:ascii="Tahoma" w:hAnsi="Tahoma" w:cs="Tahoma"/>
          <w:sz w:val="22"/>
          <w:szCs w:val="22"/>
        </w:rPr>
      </w:pPr>
    </w:p>
    <w:p w:rsidR="005E6E6D" w:rsidRPr="00AE41DD" w:rsidRDefault="005E6E6D" w:rsidP="005E6E6D">
      <w:pPr>
        <w:pStyle w:val="Sangradetextonormal"/>
        <w:numPr>
          <w:ilvl w:val="0"/>
          <w:numId w:val="4"/>
        </w:numPr>
        <w:tabs>
          <w:tab w:val="left" w:pos="540"/>
        </w:tabs>
        <w:spacing w:after="0"/>
        <w:ind w:left="567" w:hanging="567"/>
        <w:jc w:val="both"/>
        <w:rPr>
          <w:rFonts w:ascii="Tahoma" w:hAnsi="Tahoma" w:cs="Tahoma"/>
          <w:sz w:val="22"/>
          <w:szCs w:val="22"/>
          <w:lang w:val="es-MX"/>
        </w:rPr>
      </w:pPr>
      <w:r w:rsidRPr="00AE41DD">
        <w:rPr>
          <w:rFonts w:ascii="Tahoma" w:hAnsi="Tahoma" w:cs="Tahoma"/>
          <w:sz w:val="22"/>
          <w:szCs w:val="22"/>
        </w:rPr>
        <w:t>De lo antes expuesto, resulta lógico que sean los postores los únicos responsables de los términos consignados en su oferta presentado en el proceso de selección, por lo que su sola presentación los vincula jurídicamente, de modo que el eventual otorgamiento de la Buena Pro a favor del ganador y la consecuente suscripción contractual, obliga a esta último a cumplir con lo ofertado dentro del plazo señalado, para lo cual aquél de manera diligente debe prever que dicha prestación se realice en las condiciones pactadas.</w:t>
      </w:r>
    </w:p>
    <w:p w:rsidR="005E6E6D" w:rsidRPr="00AE41DD" w:rsidRDefault="005E6E6D" w:rsidP="005E6E6D">
      <w:pPr>
        <w:pStyle w:val="Sangradetextonormal"/>
        <w:tabs>
          <w:tab w:val="num" w:pos="540"/>
          <w:tab w:val="left" w:pos="900"/>
        </w:tabs>
        <w:spacing w:after="0"/>
        <w:ind w:left="540"/>
        <w:jc w:val="both"/>
        <w:rPr>
          <w:rFonts w:ascii="Tahoma" w:hAnsi="Tahoma" w:cs="Tahoma"/>
          <w:sz w:val="22"/>
          <w:szCs w:val="22"/>
        </w:rPr>
      </w:pPr>
    </w:p>
    <w:p w:rsidR="009E3BC8" w:rsidRPr="00AE41DD" w:rsidRDefault="005E6E6D" w:rsidP="009E3BC8">
      <w:pPr>
        <w:pStyle w:val="Textoindependiente"/>
        <w:widowControl w:val="0"/>
        <w:numPr>
          <w:ilvl w:val="0"/>
          <w:numId w:val="4"/>
        </w:numPr>
        <w:tabs>
          <w:tab w:val="num" w:pos="567"/>
        </w:tabs>
        <w:suppressAutoHyphens/>
        <w:spacing w:after="0"/>
        <w:ind w:left="567" w:hanging="567"/>
        <w:jc w:val="both"/>
        <w:rPr>
          <w:rFonts w:ascii="Tahoma" w:hAnsi="Tahoma" w:cs="Tahoma"/>
          <w:sz w:val="22"/>
          <w:szCs w:val="22"/>
        </w:rPr>
      </w:pPr>
      <w:r w:rsidRPr="00AE41DD">
        <w:rPr>
          <w:rFonts w:ascii="Tahoma" w:hAnsi="Tahoma" w:cs="Tahoma"/>
          <w:sz w:val="22"/>
          <w:szCs w:val="22"/>
          <w:lang w:val="es-MX"/>
        </w:rPr>
        <w:t>Según se observa, queda claro que la obligación del Contratista debería ser en óptimas condiciones y conforme al plazo estipulado, según se  desprende de los actuados en el expediente administrativo. Pese a ello, ha quedado acreditado en el presente caso que, a pesar de que la Entidad le brindo un plazo adicional al Contratista para el cumplimiento de sus obligaciones contractuales, éste no cumplió con ejecutar el servicio contratado.</w:t>
      </w:r>
    </w:p>
    <w:p w:rsidR="009E3BC8" w:rsidRPr="00AE41DD" w:rsidRDefault="009E3BC8" w:rsidP="009E3BC8">
      <w:pPr>
        <w:pStyle w:val="Prrafodelista"/>
        <w:rPr>
          <w:rFonts w:ascii="Tahoma" w:hAnsi="Tahoma" w:cs="Tahoma"/>
          <w:sz w:val="22"/>
          <w:szCs w:val="22"/>
        </w:rPr>
      </w:pPr>
    </w:p>
    <w:p w:rsidR="009E3BC8" w:rsidRPr="00AE41DD" w:rsidRDefault="005E6E6D" w:rsidP="009E3BC8">
      <w:pPr>
        <w:pStyle w:val="Textoindependiente"/>
        <w:widowControl w:val="0"/>
        <w:numPr>
          <w:ilvl w:val="0"/>
          <w:numId w:val="4"/>
        </w:numPr>
        <w:tabs>
          <w:tab w:val="num" w:pos="567"/>
        </w:tabs>
        <w:suppressAutoHyphens/>
        <w:spacing w:after="0"/>
        <w:ind w:left="567" w:hanging="567"/>
        <w:jc w:val="both"/>
        <w:rPr>
          <w:rFonts w:ascii="Tahoma" w:hAnsi="Tahoma" w:cs="Tahoma"/>
          <w:sz w:val="22"/>
          <w:szCs w:val="22"/>
        </w:rPr>
      </w:pPr>
      <w:r w:rsidRPr="00AE41DD">
        <w:rPr>
          <w:rFonts w:ascii="Tahoma" w:hAnsi="Tahoma" w:cs="Tahoma"/>
          <w:sz w:val="22"/>
          <w:szCs w:val="22"/>
        </w:rPr>
        <w:t xml:space="preserve">Ahora bien, y en la medida en que el Contratista no ha presentado argumentos y/o documentación adicional que permitan justificar su incumplimiento y que adicionalmente no ha cuestionado la resolución del contrato en la vía correspondiente, se colige entonces que el Contratista ha incurrido en la causal de aplicación de sanción consistente en haber dado lugar a la resolución del </w:t>
      </w:r>
      <w:r w:rsidRPr="00AE41DD">
        <w:rPr>
          <w:rFonts w:ascii="Tahoma" w:hAnsi="Tahoma" w:cs="Tahoma"/>
          <w:sz w:val="22"/>
          <w:szCs w:val="22"/>
          <w:lang w:val="es-MX"/>
        </w:rPr>
        <w:t>Contrato № 020-2010-ENAPU S.A./GL de fecha 05 de febrero de 2010</w:t>
      </w:r>
      <w:r w:rsidRPr="00AE41DD">
        <w:rPr>
          <w:rFonts w:ascii="Tahoma" w:hAnsi="Tahoma" w:cs="Tahoma"/>
          <w:sz w:val="22"/>
          <w:szCs w:val="22"/>
        </w:rPr>
        <w:t>, por causal atribuible a su parte.</w:t>
      </w:r>
    </w:p>
    <w:p w:rsidR="009E3BC8" w:rsidRPr="00AE41DD" w:rsidRDefault="009E3BC8" w:rsidP="009E3BC8">
      <w:pPr>
        <w:pStyle w:val="Prrafodelista"/>
        <w:rPr>
          <w:rFonts w:ascii="Tahoma" w:hAnsi="Tahoma" w:cs="Tahoma"/>
          <w:sz w:val="22"/>
          <w:szCs w:val="22"/>
        </w:rPr>
      </w:pPr>
    </w:p>
    <w:p w:rsidR="005E6E6D" w:rsidRPr="00AE41DD" w:rsidRDefault="005E6E6D" w:rsidP="009E3BC8">
      <w:pPr>
        <w:pStyle w:val="Textoindependiente"/>
        <w:widowControl w:val="0"/>
        <w:numPr>
          <w:ilvl w:val="0"/>
          <w:numId w:val="4"/>
        </w:numPr>
        <w:tabs>
          <w:tab w:val="num" w:pos="567"/>
        </w:tabs>
        <w:suppressAutoHyphens/>
        <w:spacing w:after="0"/>
        <w:ind w:left="567" w:hanging="567"/>
        <w:jc w:val="both"/>
        <w:rPr>
          <w:rFonts w:ascii="Tahoma" w:hAnsi="Tahoma" w:cs="Tahoma"/>
          <w:sz w:val="22"/>
          <w:szCs w:val="22"/>
        </w:rPr>
      </w:pPr>
      <w:r w:rsidRPr="00AE41DD">
        <w:rPr>
          <w:rFonts w:ascii="Tahoma" w:hAnsi="Tahoma" w:cs="Tahoma"/>
          <w:sz w:val="22"/>
          <w:szCs w:val="22"/>
        </w:rPr>
        <w:t xml:space="preserve">Por lo tanto, en virtud a que el Contratista no ha acreditado que el incumplimiento </w:t>
      </w:r>
      <w:r w:rsidRPr="00AE41DD">
        <w:rPr>
          <w:rFonts w:ascii="Tahoma" w:hAnsi="Tahoma" w:cs="Tahoma"/>
          <w:sz w:val="22"/>
          <w:szCs w:val="22"/>
        </w:rPr>
        <w:lastRenderedPageBreak/>
        <w:t xml:space="preserve">de sus obligaciones contractuales, haya sido producto de caso fortuito o fuerza mayor, ni existen indicios que dicho incumplimiento se haya producido por causas imprevisibles ajenas a su voluntad o por causa atribuible a la Entidad, este Colegiado concluye que el </w:t>
      </w:r>
      <w:r w:rsidRPr="00AE41DD">
        <w:rPr>
          <w:rFonts w:ascii="Tahoma" w:hAnsi="Tahoma" w:cs="Tahoma"/>
          <w:sz w:val="22"/>
          <w:szCs w:val="22"/>
          <w:lang w:val="es-MX"/>
        </w:rPr>
        <w:t xml:space="preserve">Contrato № 020-2010-ENAPU S.A./GL </w:t>
      </w:r>
      <w:r w:rsidRPr="00AE41DD">
        <w:rPr>
          <w:rFonts w:ascii="Tahoma" w:hAnsi="Tahoma" w:cs="Tahoma"/>
          <w:sz w:val="22"/>
          <w:szCs w:val="22"/>
        </w:rPr>
        <w:t>resulta atribuible al Contratista.</w:t>
      </w:r>
    </w:p>
    <w:p w:rsidR="005E6E6D" w:rsidRPr="00AE41DD" w:rsidRDefault="005E6E6D" w:rsidP="005E6E6D">
      <w:pPr>
        <w:pStyle w:val="Prrafodelista"/>
        <w:rPr>
          <w:rFonts w:ascii="Tahoma" w:hAnsi="Tahoma" w:cs="Tahoma"/>
          <w:sz w:val="22"/>
          <w:szCs w:val="22"/>
          <w:lang w:val="es-PE"/>
        </w:rPr>
      </w:pPr>
    </w:p>
    <w:p w:rsidR="005E6E6D" w:rsidRPr="00AE41DD" w:rsidRDefault="005E6E6D" w:rsidP="005E6E6D">
      <w:pPr>
        <w:pStyle w:val="Prrafodelista"/>
        <w:widowControl w:val="0"/>
        <w:numPr>
          <w:ilvl w:val="0"/>
          <w:numId w:val="4"/>
        </w:numPr>
        <w:tabs>
          <w:tab w:val="num" w:pos="567"/>
        </w:tabs>
        <w:suppressAutoHyphens/>
        <w:ind w:left="567" w:hanging="567"/>
        <w:jc w:val="both"/>
        <w:rPr>
          <w:rFonts w:ascii="Tahoma" w:hAnsi="Tahoma" w:cs="Tahoma"/>
          <w:sz w:val="22"/>
          <w:szCs w:val="22"/>
        </w:rPr>
      </w:pPr>
      <w:r w:rsidRPr="00AE41DD">
        <w:rPr>
          <w:rFonts w:ascii="Tahoma" w:hAnsi="Tahoma" w:cs="Tahoma"/>
          <w:sz w:val="22"/>
          <w:szCs w:val="22"/>
        </w:rPr>
        <w:t>A ello debemos agregar que, en los casos de incumplimiento de obligaciones, existe la presunción legal establecida en el artículo 1329 del mismo Código Civil, según el cual aquél es producto de la falta de diligencia del deudor</w:t>
      </w:r>
      <w:r w:rsidRPr="00AE41DD">
        <w:rPr>
          <w:rStyle w:val="Refdenotaalpie"/>
          <w:rFonts w:ascii="Tahoma" w:hAnsi="Tahoma" w:cs="Tahoma"/>
          <w:sz w:val="22"/>
          <w:szCs w:val="22"/>
        </w:rPr>
        <w:footnoteReference w:id="8"/>
      </w:r>
      <w:r w:rsidRPr="00AE41DD">
        <w:rPr>
          <w:rFonts w:ascii="Tahoma" w:hAnsi="Tahoma" w:cs="Tahoma"/>
          <w:sz w:val="22"/>
          <w:szCs w:val="22"/>
        </w:rPr>
        <w:t xml:space="preserve">, lo que implica que es su deber demostrar lo contrario y acreditar que, pese a haber actuado con la diligencia ordinaria exigida por la naturaleza de la prestación, le fue imposible cumplirla. </w:t>
      </w:r>
    </w:p>
    <w:p w:rsidR="005E6E6D" w:rsidRPr="00AE41DD" w:rsidRDefault="005E6E6D" w:rsidP="005E6E6D">
      <w:pPr>
        <w:pStyle w:val="Prrafodelista"/>
        <w:widowControl w:val="0"/>
        <w:suppressAutoHyphens/>
        <w:ind w:left="567"/>
        <w:rPr>
          <w:rFonts w:ascii="Tahoma" w:hAnsi="Tahoma" w:cs="Tahoma"/>
          <w:sz w:val="22"/>
          <w:szCs w:val="22"/>
        </w:rPr>
      </w:pPr>
    </w:p>
    <w:p w:rsidR="005E6E6D" w:rsidRPr="00AE41DD" w:rsidRDefault="005E6E6D" w:rsidP="005E6E6D">
      <w:pPr>
        <w:pStyle w:val="Prrafodelista"/>
        <w:widowControl w:val="0"/>
        <w:numPr>
          <w:ilvl w:val="0"/>
          <w:numId w:val="4"/>
        </w:numPr>
        <w:tabs>
          <w:tab w:val="num" w:pos="567"/>
        </w:tabs>
        <w:suppressAutoHyphens/>
        <w:ind w:left="567" w:hanging="567"/>
        <w:jc w:val="both"/>
        <w:rPr>
          <w:rFonts w:ascii="Tahoma" w:hAnsi="Tahoma" w:cs="Tahoma"/>
          <w:sz w:val="22"/>
          <w:szCs w:val="22"/>
        </w:rPr>
      </w:pPr>
      <w:r w:rsidRPr="00AE41DD">
        <w:rPr>
          <w:rFonts w:ascii="Tahoma" w:hAnsi="Tahoma" w:cs="Tahoma"/>
          <w:sz w:val="22"/>
          <w:szCs w:val="22"/>
        </w:rPr>
        <w:t xml:space="preserve">Por las consideraciones expuestas, se desprende que la resolución del </w:t>
      </w:r>
      <w:r w:rsidRPr="00AE41DD">
        <w:rPr>
          <w:rFonts w:ascii="Tahoma" w:hAnsi="Tahoma" w:cs="Tahoma"/>
          <w:sz w:val="22"/>
          <w:szCs w:val="22"/>
          <w:lang w:val="es-MX"/>
        </w:rPr>
        <w:t>Contrato № 020-2010-ENAPU S.A./GL de fecha 05 de febrero de 2010</w:t>
      </w:r>
      <w:r w:rsidRPr="00AE41DD">
        <w:rPr>
          <w:rFonts w:ascii="Tahoma" w:hAnsi="Tahoma" w:cs="Tahoma"/>
          <w:sz w:val="22"/>
          <w:szCs w:val="22"/>
        </w:rPr>
        <w:t xml:space="preserve"> estuvo motivada por causal atribuible al Contratista, al no haber cumplido con prestar el servicio ofertado, por lo que el hecho imputado califica como infracción administrativa según la causal de imposición de sanción tipificada en el literal b) numeral 1 del artículo 237 del Reglamento, la cual se encuentra sancionada con inhabilitación temporal para ser postor y contratar con el Estado por un período no menor de uno (1) ni mayor de tres (3) años.</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Prrafodelista"/>
        <w:widowControl w:val="0"/>
        <w:numPr>
          <w:ilvl w:val="0"/>
          <w:numId w:val="4"/>
        </w:numPr>
        <w:tabs>
          <w:tab w:val="num" w:pos="567"/>
        </w:tabs>
        <w:suppressAutoHyphens/>
        <w:ind w:left="567" w:hanging="567"/>
        <w:jc w:val="both"/>
        <w:rPr>
          <w:rFonts w:ascii="Tahoma" w:hAnsi="Tahoma" w:cs="Tahoma"/>
          <w:sz w:val="22"/>
          <w:szCs w:val="22"/>
        </w:rPr>
      </w:pPr>
      <w:r w:rsidRPr="00AE41DD">
        <w:rPr>
          <w:rFonts w:ascii="Tahoma" w:hAnsi="Tahoma" w:cs="Tahoma"/>
          <w:sz w:val="22"/>
          <w:szCs w:val="22"/>
        </w:rPr>
        <w:t>A efectos de graduar la sanción administrativa a imponerse, debe considerarse los criterios establecidos en el artículo 245 del Reglamento</w:t>
      </w:r>
      <w:r w:rsidRPr="00AE41DD">
        <w:rPr>
          <w:rStyle w:val="Refdenotaalpie"/>
          <w:rFonts w:ascii="Tahoma" w:hAnsi="Tahoma" w:cs="Tahoma"/>
          <w:sz w:val="22"/>
          <w:szCs w:val="22"/>
        </w:rPr>
        <w:footnoteReference w:id="9"/>
      </w:r>
      <w:r w:rsidRPr="00AE41DD">
        <w:rPr>
          <w:rFonts w:ascii="Tahoma" w:hAnsi="Tahoma" w:cs="Tahoma"/>
          <w:sz w:val="22"/>
          <w:szCs w:val="22"/>
        </w:rPr>
        <w:t>.</w:t>
      </w:r>
    </w:p>
    <w:p w:rsidR="005E6E6D" w:rsidRPr="00AE41DD" w:rsidRDefault="005E6E6D" w:rsidP="005E6E6D">
      <w:pPr>
        <w:pStyle w:val="Prrafodelista"/>
        <w:ind w:left="567"/>
        <w:rPr>
          <w:rFonts w:ascii="Tahoma" w:hAnsi="Tahoma" w:cs="Tahoma"/>
          <w:sz w:val="22"/>
          <w:szCs w:val="22"/>
        </w:rPr>
      </w:pPr>
    </w:p>
    <w:p w:rsidR="005E6E6D" w:rsidRPr="00AE41DD" w:rsidRDefault="005E6E6D" w:rsidP="005E6E6D">
      <w:pPr>
        <w:pStyle w:val="Prrafodelista"/>
        <w:numPr>
          <w:ilvl w:val="0"/>
          <w:numId w:val="4"/>
        </w:numPr>
        <w:ind w:left="567" w:hanging="567"/>
        <w:jc w:val="both"/>
        <w:rPr>
          <w:rFonts w:ascii="Tahoma" w:hAnsi="Tahoma" w:cs="Tahoma"/>
          <w:sz w:val="22"/>
          <w:szCs w:val="22"/>
        </w:rPr>
      </w:pPr>
      <w:r w:rsidRPr="00AE41DD">
        <w:rPr>
          <w:rFonts w:ascii="Tahoma" w:hAnsi="Tahoma" w:cs="Tahoma"/>
          <w:sz w:val="22"/>
          <w:szCs w:val="22"/>
        </w:rPr>
        <w:t xml:space="preserve">En ese sentido, en relación con la naturaleza de la infracción cometida, es importante señalar que la conducta efectuada por el Contratista reviste de una considerable gravedad en la medida que desde el momento en que se asumió un compromiso contractual frente a la Entidad, aquélla se encontraba llamada a cumplir cabalmente con lo ofrecido, máxime si es conocido que ante un eventual </w:t>
      </w:r>
      <w:r w:rsidRPr="00AE41DD">
        <w:rPr>
          <w:rFonts w:ascii="Tahoma" w:hAnsi="Tahoma" w:cs="Tahoma"/>
          <w:sz w:val="22"/>
          <w:szCs w:val="22"/>
        </w:rPr>
        <w:lastRenderedPageBreak/>
        <w:t>incumplimiento se verían seriamente afectados intereses de carácter público así como retrasado el cumplimiento de las metas institucionales de la Entidad.</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Prrafodelista"/>
        <w:numPr>
          <w:ilvl w:val="0"/>
          <w:numId w:val="4"/>
        </w:numPr>
        <w:ind w:left="567" w:hanging="567"/>
        <w:jc w:val="both"/>
        <w:rPr>
          <w:rFonts w:ascii="Tahoma" w:hAnsi="Tahoma" w:cs="Tahoma"/>
          <w:sz w:val="22"/>
          <w:szCs w:val="22"/>
        </w:rPr>
      </w:pPr>
      <w:r w:rsidRPr="00AE41DD">
        <w:rPr>
          <w:rFonts w:ascii="Tahoma" w:hAnsi="Tahoma" w:cs="Tahoma"/>
          <w:sz w:val="22"/>
          <w:szCs w:val="22"/>
        </w:rPr>
        <w:t>En igual sentido, en cuanto al criterio de intencionalidad del infractor, este Colegiado considera que en tanto, la conducta llevada a cabo por parte de la Contratista consistente en la resolución del contrato, no permite a este Colegiado determinar la existencia de intencionalidad de su parte en la medida que no se ha evidenciado la consecución de un fin ulterior; no obstante lo cual, si resulta clara una falta de diligencia por parte de dicho Contratista en el cumplimiento de sus obligaciones contractuales.</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Prrafodelista"/>
        <w:numPr>
          <w:ilvl w:val="0"/>
          <w:numId w:val="4"/>
        </w:numPr>
        <w:ind w:left="567" w:hanging="567"/>
        <w:jc w:val="both"/>
        <w:rPr>
          <w:rFonts w:ascii="Tahoma" w:hAnsi="Tahoma" w:cs="Tahoma"/>
          <w:sz w:val="22"/>
          <w:szCs w:val="22"/>
        </w:rPr>
      </w:pPr>
      <w:r w:rsidRPr="00AE41DD">
        <w:rPr>
          <w:rFonts w:ascii="Tahoma" w:hAnsi="Tahoma" w:cs="Tahoma"/>
          <w:sz w:val="22"/>
          <w:szCs w:val="22"/>
        </w:rPr>
        <w:t xml:space="preserve">De esta manera, en lo que atañe al daño causado, es relevante tomar en cuenta, por un lado, la cuantía que subyace el </w:t>
      </w:r>
      <w:r w:rsidRPr="00AE41DD">
        <w:rPr>
          <w:rFonts w:ascii="Tahoma" w:hAnsi="Tahoma" w:cs="Tahoma"/>
          <w:sz w:val="22"/>
          <w:szCs w:val="22"/>
          <w:lang w:val="es-MX"/>
        </w:rPr>
        <w:t>Contrato № 020-2010-ENAPU S.A./GL</w:t>
      </w:r>
      <w:r w:rsidRPr="00AE41DD">
        <w:rPr>
          <w:rFonts w:ascii="Tahoma" w:hAnsi="Tahoma" w:cs="Tahoma"/>
          <w:sz w:val="22"/>
          <w:szCs w:val="22"/>
        </w:rPr>
        <w:t>, por el monto de S/. 30 400.00, y, por el otro, que su incumplimiento por parte del Contratista generó un daño a la Entidad, causando el retraso en el cumplimiento de sus objetivos, el cual había sido programado y presupuestado con anticipación.</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Prrafodelista"/>
        <w:numPr>
          <w:ilvl w:val="0"/>
          <w:numId w:val="4"/>
        </w:numPr>
        <w:ind w:left="567" w:hanging="567"/>
        <w:jc w:val="both"/>
        <w:rPr>
          <w:rFonts w:ascii="Tahoma" w:hAnsi="Tahoma" w:cs="Tahoma"/>
          <w:sz w:val="22"/>
          <w:szCs w:val="22"/>
        </w:rPr>
      </w:pPr>
      <w:r w:rsidRPr="00AE41DD">
        <w:rPr>
          <w:rFonts w:ascii="Tahoma" w:hAnsi="Tahoma" w:cs="Tahoma"/>
          <w:sz w:val="22"/>
          <w:szCs w:val="22"/>
        </w:rPr>
        <w:t>Sin perjuicio de lo anterior, respecto de las condiciones del infractor y de su conducta procesal durante la sustanciación del presente procedimiento administrativo sancionador, abona a favor del Contratista la ausencia de antecedentes en la comisión de infracciones, así como que durante la sustanciación del presente procedimiento administrativo sancionador el infractor ha efectuado la presentación de sus descargos.</w:t>
      </w:r>
    </w:p>
    <w:p w:rsidR="005E6E6D" w:rsidRPr="00AE41DD" w:rsidRDefault="005E6E6D" w:rsidP="005E6E6D">
      <w:pPr>
        <w:pStyle w:val="Prrafodelista"/>
        <w:rPr>
          <w:rFonts w:ascii="Tahoma" w:hAnsi="Tahoma" w:cs="Tahoma"/>
          <w:sz w:val="22"/>
          <w:szCs w:val="22"/>
        </w:rPr>
      </w:pPr>
    </w:p>
    <w:p w:rsidR="005E6E6D" w:rsidRPr="00AE41DD" w:rsidRDefault="005E6E6D" w:rsidP="005E6E6D">
      <w:pPr>
        <w:pStyle w:val="Prrafodelista"/>
        <w:numPr>
          <w:ilvl w:val="0"/>
          <w:numId w:val="4"/>
        </w:numPr>
        <w:ind w:left="567" w:hanging="567"/>
        <w:jc w:val="both"/>
        <w:rPr>
          <w:rFonts w:ascii="Tahoma" w:hAnsi="Tahoma" w:cs="Tahoma"/>
          <w:sz w:val="22"/>
          <w:szCs w:val="22"/>
        </w:rPr>
      </w:pPr>
      <w:r w:rsidRPr="00AE41DD">
        <w:rPr>
          <w:rFonts w:ascii="Tahoma" w:hAnsi="Tahoma" w:cs="Tahoma"/>
          <w:sz w:val="22"/>
          <w:szCs w:val="22"/>
        </w:rPr>
        <w:t xml:space="preserve">Finalmente, resulta importante traer a colación el </w:t>
      </w:r>
      <w:r w:rsidRPr="00AE41DD">
        <w:rPr>
          <w:rFonts w:ascii="Tahoma" w:hAnsi="Tahoma" w:cs="Tahoma"/>
          <w:i/>
          <w:sz w:val="22"/>
          <w:szCs w:val="22"/>
        </w:rPr>
        <w:t>principio de razonabilidad</w:t>
      </w:r>
      <w:r w:rsidRPr="00AE41DD">
        <w:rPr>
          <w:rFonts w:ascii="Tahoma" w:hAnsi="Tahoma" w:cs="Tahoma"/>
          <w:sz w:val="22"/>
          <w:szCs w:val="22"/>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1776B6" w:rsidRPr="00AE41DD" w:rsidRDefault="001776B6" w:rsidP="001776B6">
      <w:pPr>
        <w:pStyle w:val="Prrafodelista"/>
        <w:jc w:val="both"/>
        <w:rPr>
          <w:rFonts w:ascii="Tahoma" w:hAnsi="Tahoma" w:cs="Tahoma"/>
          <w:sz w:val="22"/>
          <w:szCs w:val="22"/>
        </w:rPr>
      </w:pPr>
    </w:p>
    <w:p w:rsidR="00DA127C" w:rsidRPr="00AE41DD" w:rsidRDefault="00DA127C" w:rsidP="00DA127C">
      <w:pPr>
        <w:ind w:left="567" w:firstLine="567"/>
        <w:jc w:val="both"/>
        <w:rPr>
          <w:rFonts w:ascii="Tahoma" w:hAnsi="Tahoma" w:cs="Tahoma"/>
          <w:sz w:val="22"/>
          <w:szCs w:val="22"/>
        </w:rPr>
      </w:pPr>
      <w:r w:rsidRPr="00AE41DD">
        <w:rPr>
          <w:rFonts w:ascii="Tahoma" w:hAnsi="Tahoma" w:cs="Tahoma"/>
          <w:color w:val="000000"/>
          <w:sz w:val="22"/>
          <w:szCs w:val="22"/>
        </w:rPr>
        <w:t xml:space="preserve">Por estos fundamentos, de conformidad con el informe del Vocal Ponente </w:t>
      </w:r>
      <w:r w:rsidRPr="00AE41DD">
        <w:rPr>
          <w:rFonts w:ascii="Tahoma" w:hAnsi="Tahoma" w:cs="Tahoma"/>
          <w:sz w:val="22"/>
          <w:szCs w:val="22"/>
        </w:rPr>
        <w:t>Doctor Carlos Vicente Navas Rondón</w:t>
      </w:r>
      <w:r w:rsidRPr="00AE41DD">
        <w:rPr>
          <w:rFonts w:ascii="Tahoma" w:hAnsi="Tahoma" w:cs="Tahoma"/>
          <w:color w:val="000000"/>
          <w:sz w:val="22"/>
          <w:szCs w:val="22"/>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w:t>
      </w:r>
      <w:r w:rsidRPr="00AE41DD">
        <w:rPr>
          <w:rFonts w:ascii="Tahoma" w:hAnsi="Tahoma" w:cs="Tahoma"/>
          <w:color w:val="000000"/>
          <w:sz w:val="22"/>
          <w:szCs w:val="22"/>
        </w:rPr>
        <w:lastRenderedPageBreak/>
        <w:t>Supremo № 006-2009-EF; analizados los antecedentes y luego de agotado el debate correspondiente, por unanimidad;</w:t>
      </w:r>
    </w:p>
    <w:p w:rsidR="00E13E6B" w:rsidRPr="00AE41DD" w:rsidRDefault="00E13E6B" w:rsidP="00E13E6B">
      <w:pPr>
        <w:jc w:val="both"/>
        <w:rPr>
          <w:rFonts w:ascii="Tahoma" w:hAnsi="Tahoma" w:cs="Tahoma"/>
          <w:sz w:val="22"/>
          <w:szCs w:val="22"/>
        </w:rPr>
      </w:pPr>
    </w:p>
    <w:p w:rsidR="00DD1154" w:rsidRPr="00AE41DD" w:rsidRDefault="00DD1154" w:rsidP="00E13E6B">
      <w:pPr>
        <w:jc w:val="both"/>
        <w:rPr>
          <w:rFonts w:ascii="Tahoma" w:hAnsi="Tahoma" w:cs="Tahoma"/>
          <w:sz w:val="22"/>
          <w:szCs w:val="22"/>
        </w:rPr>
      </w:pPr>
    </w:p>
    <w:p w:rsidR="00E13E6B" w:rsidRPr="00AE41DD" w:rsidRDefault="00E13E6B" w:rsidP="00E13E6B">
      <w:pPr>
        <w:ind w:firstLine="567"/>
        <w:jc w:val="both"/>
        <w:rPr>
          <w:rFonts w:ascii="Tahoma" w:hAnsi="Tahoma" w:cs="Tahoma"/>
          <w:b/>
          <w:sz w:val="22"/>
          <w:szCs w:val="22"/>
        </w:rPr>
      </w:pPr>
      <w:r w:rsidRPr="00AE41DD">
        <w:rPr>
          <w:rFonts w:ascii="Tahoma" w:hAnsi="Tahoma" w:cs="Tahoma"/>
          <w:b/>
          <w:sz w:val="22"/>
          <w:szCs w:val="22"/>
        </w:rPr>
        <w:t xml:space="preserve">LA SALA RESUELVE: </w:t>
      </w:r>
    </w:p>
    <w:p w:rsidR="00E13E6B" w:rsidRPr="00AE41DD" w:rsidRDefault="00E13E6B" w:rsidP="00E13E6B">
      <w:pPr>
        <w:ind w:left="400"/>
        <w:jc w:val="both"/>
        <w:rPr>
          <w:rFonts w:ascii="Tahoma" w:hAnsi="Tahoma" w:cs="Tahoma"/>
          <w:snapToGrid w:val="0"/>
          <w:sz w:val="22"/>
          <w:szCs w:val="22"/>
        </w:rPr>
      </w:pPr>
    </w:p>
    <w:p w:rsidR="005E6E6D" w:rsidRPr="00AE41DD" w:rsidRDefault="005E6E6D" w:rsidP="005E6E6D">
      <w:pPr>
        <w:pStyle w:val="Textoindependiente2"/>
        <w:numPr>
          <w:ilvl w:val="0"/>
          <w:numId w:val="16"/>
        </w:numPr>
        <w:tabs>
          <w:tab w:val="clear" w:pos="8100"/>
          <w:tab w:val="num" w:pos="540"/>
        </w:tabs>
        <w:spacing w:after="0" w:line="240" w:lineRule="auto"/>
        <w:ind w:left="540" w:hanging="540"/>
        <w:jc w:val="both"/>
        <w:rPr>
          <w:rFonts w:ascii="Tahoma" w:hAnsi="Tahoma" w:cs="Tahoma"/>
          <w:sz w:val="22"/>
          <w:szCs w:val="22"/>
        </w:rPr>
      </w:pPr>
      <w:r w:rsidRPr="00AE41DD">
        <w:rPr>
          <w:rFonts w:ascii="Tahoma" w:hAnsi="Tahoma" w:cs="Tahoma"/>
          <w:sz w:val="22"/>
          <w:szCs w:val="22"/>
        </w:rPr>
        <w:t>Imponer al señor VICTOR SOTOMAYOR EYZAGUIRRE sanción administrativa de inhabilitación temporal por el período de catorce (14) meses en sus derechos de participar en procesos de selección y contratar con el Estado, por su responsabilidad en la resolución Contrato № 020-2010-ENAPU S.A./GL, derivado de la Adjudicación Directa Selectiva № 045-2009-ENAPU S.A./TPC, infracción tipificada en el literal b) del numeral 51.1 del artículo 51 de la Ley, por lo que corresponde archivar el presente expediente.</w:t>
      </w:r>
    </w:p>
    <w:p w:rsidR="005E6E6D" w:rsidRPr="00AE41DD" w:rsidRDefault="005E6E6D" w:rsidP="005E6E6D">
      <w:pPr>
        <w:pStyle w:val="Textoindependiente2"/>
        <w:spacing w:after="0" w:line="240" w:lineRule="auto"/>
        <w:ind w:left="540"/>
        <w:jc w:val="both"/>
        <w:rPr>
          <w:rFonts w:ascii="Tahoma" w:hAnsi="Tahoma" w:cs="Tahoma"/>
          <w:sz w:val="22"/>
          <w:szCs w:val="22"/>
        </w:rPr>
      </w:pPr>
    </w:p>
    <w:p w:rsidR="005E6E6D" w:rsidRPr="00AE41DD" w:rsidRDefault="005E6E6D" w:rsidP="005E6E6D">
      <w:pPr>
        <w:pStyle w:val="Textoindependiente2"/>
        <w:numPr>
          <w:ilvl w:val="0"/>
          <w:numId w:val="16"/>
        </w:numPr>
        <w:tabs>
          <w:tab w:val="clear" w:pos="8100"/>
          <w:tab w:val="num" w:pos="540"/>
        </w:tabs>
        <w:spacing w:after="0" w:line="240" w:lineRule="auto"/>
        <w:ind w:left="540" w:hanging="540"/>
        <w:jc w:val="both"/>
        <w:rPr>
          <w:rFonts w:ascii="Tahoma" w:hAnsi="Tahoma" w:cs="Tahoma"/>
          <w:sz w:val="22"/>
          <w:szCs w:val="22"/>
        </w:rPr>
      </w:pPr>
      <w:r w:rsidRPr="00AE41DD">
        <w:rPr>
          <w:rFonts w:ascii="Tahoma" w:hAnsi="Tahoma" w:cs="Tahoma"/>
          <w:sz w:val="22"/>
          <w:szCs w:val="22"/>
        </w:rPr>
        <w:t>Poner la presente Resolución en conocimiento de la Subdirección del Registro Nacional de Proveedores del Organismo Supervisor de las Contrataciones del Estado (OSCE), para las anotaciones de ley.</w:t>
      </w:r>
    </w:p>
    <w:p w:rsidR="00E13E6B" w:rsidRPr="00AE41DD" w:rsidRDefault="00E13E6B" w:rsidP="00E13E6B">
      <w:pPr>
        <w:pStyle w:val="Prrafodelista"/>
        <w:jc w:val="both"/>
        <w:rPr>
          <w:rFonts w:ascii="Tahoma" w:hAnsi="Tahoma" w:cs="Tahoma"/>
          <w:sz w:val="22"/>
          <w:szCs w:val="22"/>
        </w:rPr>
      </w:pPr>
    </w:p>
    <w:p w:rsidR="00E13E6B" w:rsidRPr="00AE41DD" w:rsidRDefault="00E13E6B" w:rsidP="00E13E6B">
      <w:pPr>
        <w:pStyle w:val="Textoindependiente21"/>
        <w:ind w:firstLine="360"/>
        <w:rPr>
          <w:rFonts w:cs="Tahoma"/>
          <w:szCs w:val="22"/>
        </w:rPr>
      </w:pPr>
      <w:r w:rsidRPr="00AE41DD">
        <w:rPr>
          <w:rFonts w:cs="Tahoma"/>
          <w:szCs w:val="22"/>
        </w:rPr>
        <w:t>Regístrese, comuníquese y publíquese.</w:t>
      </w:r>
    </w:p>
    <w:p w:rsidR="00E13E6B" w:rsidRPr="00AE41DD" w:rsidRDefault="00E13E6B" w:rsidP="00E13E6B">
      <w:pPr>
        <w:jc w:val="both"/>
        <w:rPr>
          <w:rFonts w:ascii="Tahoma" w:hAnsi="Tahoma" w:cs="Tahoma"/>
          <w:b/>
          <w:bCs/>
          <w:shadow/>
          <w:sz w:val="22"/>
          <w:szCs w:val="22"/>
        </w:rPr>
      </w:pPr>
    </w:p>
    <w:p w:rsidR="00A52C81" w:rsidRPr="00AE41DD" w:rsidRDefault="00A52C81" w:rsidP="00E13E6B">
      <w:pPr>
        <w:jc w:val="both"/>
        <w:rPr>
          <w:rFonts w:ascii="Tahoma" w:hAnsi="Tahoma" w:cs="Tahoma"/>
          <w:b/>
          <w:bCs/>
          <w:shadow/>
          <w:sz w:val="22"/>
          <w:szCs w:val="22"/>
        </w:rPr>
      </w:pPr>
    </w:p>
    <w:p w:rsidR="006E5BF8" w:rsidRPr="00AE41DD" w:rsidRDefault="006E5BF8" w:rsidP="00E13E6B">
      <w:pPr>
        <w:jc w:val="both"/>
        <w:rPr>
          <w:rFonts w:ascii="Tahoma" w:hAnsi="Tahoma" w:cs="Tahoma"/>
          <w:b/>
          <w:bCs/>
          <w:shadow/>
          <w:sz w:val="22"/>
          <w:szCs w:val="22"/>
        </w:rPr>
      </w:pPr>
    </w:p>
    <w:p w:rsidR="00DA127C" w:rsidRPr="00AE41DD" w:rsidRDefault="00DA127C" w:rsidP="00E13E6B">
      <w:pPr>
        <w:jc w:val="both"/>
        <w:rPr>
          <w:rFonts w:ascii="Tahoma" w:hAnsi="Tahoma" w:cs="Tahoma"/>
          <w:b/>
          <w:bCs/>
          <w:shadow/>
          <w:sz w:val="22"/>
          <w:szCs w:val="22"/>
        </w:rPr>
      </w:pPr>
    </w:p>
    <w:p w:rsidR="00DA127C" w:rsidRPr="00AE41DD" w:rsidRDefault="00DA127C" w:rsidP="00E13E6B">
      <w:pPr>
        <w:jc w:val="both"/>
        <w:rPr>
          <w:rFonts w:ascii="Tahoma" w:hAnsi="Tahoma" w:cs="Tahoma"/>
          <w:b/>
          <w:bCs/>
          <w:shadow/>
          <w:sz w:val="22"/>
          <w:szCs w:val="22"/>
        </w:rPr>
      </w:pPr>
    </w:p>
    <w:p w:rsidR="00DA127C" w:rsidRPr="00AE41DD" w:rsidRDefault="00DA127C" w:rsidP="00E13E6B">
      <w:pPr>
        <w:jc w:val="both"/>
        <w:rPr>
          <w:rFonts w:ascii="Tahoma" w:hAnsi="Tahoma" w:cs="Tahoma"/>
          <w:b/>
          <w:bCs/>
          <w:shadow/>
          <w:sz w:val="22"/>
          <w:szCs w:val="22"/>
        </w:rPr>
      </w:pPr>
    </w:p>
    <w:p w:rsidR="00EC4953" w:rsidRPr="00AE41DD" w:rsidRDefault="00EC4953" w:rsidP="00E13E6B">
      <w:pPr>
        <w:jc w:val="both"/>
        <w:rPr>
          <w:rFonts w:ascii="Tahoma" w:hAnsi="Tahoma" w:cs="Tahoma"/>
          <w:b/>
          <w:bCs/>
          <w:shadow/>
          <w:sz w:val="22"/>
          <w:szCs w:val="22"/>
        </w:rPr>
      </w:pPr>
    </w:p>
    <w:p w:rsidR="00E13E6B" w:rsidRPr="00AE41DD" w:rsidRDefault="00E13E6B" w:rsidP="00295C50">
      <w:pPr>
        <w:jc w:val="center"/>
        <w:rPr>
          <w:rFonts w:ascii="Tahoma" w:hAnsi="Tahoma" w:cs="Tahoma"/>
          <w:b/>
          <w:bCs/>
          <w:shadow/>
          <w:sz w:val="22"/>
          <w:szCs w:val="22"/>
        </w:rPr>
      </w:pPr>
      <w:r w:rsidRPr="00AE41DD">
        <w:rPr>
          <w:rFonts w:ascii="Tahoma" w:hAnsi="Tahoma" w:cs="Tahoma"/>
          <w:b/>
          <w:bCs/>
          <w:shadow/>
          <w:sz w:val="22"/>
          <w:szCs w:val="22"/>
        </w:rPr>
        <w:t>PRESIDENTE</w:t>
      </w:r>
    </w:p>
    <w:p w:rsidR="00E13E6B" w:rsidRPr="00AE41DD" w:rsidRDefault="00E13E6B" w:rsidP="00C5251B">
      <w:pPr>
        <w:jc w:val="center"/>
        <w:rPr>
          <w:rFonts w:ascii="Tahoma" w:hAnsi="Tahoma" w:cs="Tahoma"/>
          <w:b/>
          <w:bCs/>
          <w:shadow/>
          <w:sz w:val="22"/>
          <w:szCs w:val="22"/>
        </w:rPr>
      </w:pPr>
    </w:p>
    <w:p w:rsidR="00E13E6B" w:rsidRPr="00AE41DD" w:rsidRDefault="00E13E6B" w:rsidP="00C5251B">
      <w:pPr>
        <w:jc w:val="center"/>
        <w:rPr>
          <w:rFonts w:ascii="Tahoma" w:hAnsi="Tahoma" w:cs="Tahoma"/>
          <w:b/>
          <w:bCs/>
          <w:shadow/>
          <w:sz w:val="22"/>
          <w:szCs w:val="22"/>
        </w:rPr>
      </w:pPr>
    </w:p>
    <w:p w:rsidR="00DA127C" w:rsidRPr="00AE41DD" w:rsidRDefault="00DA127C" w:rsidP="00C5251B">
      <w:pPr>
        <w:jc w:val="center"/>
        <w:rPr>
          <w:rFonts w:ascii="Tahoma" w:hAnsi="Tahoma" w:cs="Tahoma"/>
          <w:b/>
          <w:bCs/>
          <w:shadow/>
          <w:sz w:val="22"/>
          <w:szCs w:val="22"/>
        </w:rPr>
      </w:pPr>
    </w:p>
    <w:p w:rsidR="00DA127C" w:rsidRPr="00AE41DD" w:rsidRDefault="00DA127C" w:rsidP="00C5251B">
      <w:pPr>
        <w:jc w:val="center"/>
        <w:rPr>
          <w:rFonts w:ascii="Tahoma" w:hAnsi="Tahoma" w:cs="Tahoma"/>
          <w:b/>
          <w:bCs/>
          <w:shadow/>
          <w:sz w:val="22"/>
          <w:szCs w:val="22"/>
        </w:rPr>
      </w:pPr>
    </w:p>
    <w:p w:rsidR="00E13E6B" w:rsidRPr="00AE41DD" w:rsidRDefault="00E13E6B" w:rsidP="00C5251B">
      <w:pPr>
        <w:jc w:val="center"/>
        <w:rPr>
          <w:rFonts w:ascii="Tahoma" w:hAnsi="Tahoma" w:cs="Tahoma"/>
          <w:b/>
          <w:bCs/>
          <w:shadow/>
          <w:sz w:val="22"/>
          <w:szCs w:val="22"/>
        </w:rPr>
      </w:pPr>
    </w:p>
    <w:p w:rsidR="00E13E6B" w:rsidRPr="00AE41DD" w:rsidRDefault="00E13E6B" w:rsidP="00C5251B">
      <w:pPr>
        <w:jc w:val="center"/>
        <w:rPr>
          <w:rFonts w:ascii="Tahoma" w:hAnsi="Tahoma" w:cs="Tahoma"/>
          <w:b/>
          <w:shadow/>
          <w:sz w:val="22"/>
          <w:szCs w:val="22"/>
        </w:rPr>
      </w:pPr>
      <w:r w:rsidRPr="00AE41DD">
        <w:rPr>
          <w:rFonts w:ascii="Tahoma" w:hAnsi="Tahoma" w:cs="Tahoma"/>
          <w:b/>
          <w:shadow/>
          <w:sz w:val="22"/>
          <w:szCs w:val="22"/>
        </w:rPr>
        <w:t xml:space="preserve">VOCAL           </w:t>
      </w:r>
      <w:r w:rsidRPr="00AE41DD">
        <w:rPr>
          <w:rFonts w:ascii="Tahoma" w:hAnsi="Tahoma" w:cs="Tahoma"/>
          <w:b/>
          <w:shadow/>
          <w:sz w:val="22"/>
          <w:szCs w:val="22"/>
        </w:rPr>
        <w:tab/>
      </w:r>
      <w:r w:rsidRPr="00AE41DD">
        <w:rPr>
          <w:rFonts w:ascii="Tahoma" w:hAnsi="Tahoma" w:cs="Tahoma"/>
          <w:b/>
          <w:shadow/>
          <w:sz w:val="22"/>
          <w:szCs w:val="22"/>
        </w:rPr>
        <w:tab/>
        <w:t xml:space="preserve">                                                                VOCAL</w:t>
      </w:r>
    </w:p>
    <w:p w:rsidR="00635F2E" w:rsidRPr="00AE41DD" w:rsidRDefault="00635F2E" w:rsidP="00E13E6B">
      <w:pPr>
        <w:jc w:val="both"/>
        <w:rPr>
          <w:rFonts w:ascii="Tahoma" w:hAnsi="Tahoma" w:cs="Tahoma"/>
          <w:sz w:val="22"/>
          <w:szCs w:val="22"/>
        </w:rPr>
      </w:pPr>
    </w:p>
    <w:p w:rsidR="00635F2E" w:rsidRPr="00AE41DD" w:rsidRDefault="00635F2E" w:rsidP="00E13E6B">
      <w:pPr>
        <w:jc w:val="both"/>
        <w:rPr>
          <w:rFonts w:ascii="Tahoma" w:hAnsi="Tahoma" w:cs="Tahoma"/>
          <w:sz w:val="22"/>
          <w:szCs w:val="22"/>
        </w:rPr>
      </w:pPr>
    </w:p>
    <w:p w:rsidR="00635F2E" w:rsidRPr="00AE41DD" w:rsidRDefault="00635F2E" w:rsidP="00E13E6B">
      <w:pPr>
        <w:jc w:val="both"/>
        <w:rPr>
          <w:rFonts w:ascii="Tahoma" w:hAnsi="Tahoma" w:cs="Tahoma"/>
          <w:sz w:val="22"/>
          <w:szCs w:val="22"/>
        </w:rPr>
      </w:pPr>
    </w:p>
    <w:p w:rsidR="00E13E6B" w:rsidRPr="00AE41DD" w:rsidRDefault="00E13E6B" w:rsidP="00E13E6B">
      <w:pPr>
        <w:jc w:val="both"/>
        <w:rPr>
          <w:rFonts w:ascii="Tahoma" w:hAnsi="Tahoma" w:cs="Tahoma"/>
          <w:sz w:val="22"/>
          <w:szCs w:val="22"/>
        </w:rPr>
      </w:pPr>
      <w:r w:rsidRPr="00AE41DD">
        <w:rPr>
          <w:rFonts w:ascii="Tahoma" w:hAnsi="Tahoma" w:cs="Tahoma"/>
          <w:sz w:val="22"/>
          <w:szCs w:val="22"/>
        </w:rPr>
        <w:t>ss.</w:t>
      </w:r>
    </w:p>
    <w:p w:rsidR="00351F6F" w:rsidRPr="00AE41DD" w:rsidRDefault="00351F6F" w:rsidP="00351F6F">
      <w:pPr>
        <w:jc w:val="both"/>
        <w:rPr>
          <w:rFonts w:ascii="Tahoma" w:hAnsi="Tahoma" w:cs="Tahoma"/>
          <w:sz w:val="22"/>
          <w:szCs w:val="22"/>
        </w:rPr>
      </w:pPr>
      <w:r w:rsidRPr="00AE41DD">
        <w:rPr>
          <w:rFonts w:ascii="Tahoma" w:hAnsi="Tahoma" w:cs="Tahoma"/>
          <w:sz w:val="22"/>
          <w:szCs w:val="22"/>
        </w:rPr>
        <w:t>Navas Rondón</w:t>
      </w:r>
    </w:p>
    <w:p w:rsidR="00351F6F" w:rsidRPr="00AE41DD" w:rsidRDefault="00351F6F" w:rsidP="00351F6F">
      <w:pPr>
        <w:jc w:val="both"/>
        <w:rPr>
          <w:rFonts w:ascii="Tahoma" w:hAnsi="Tahoma" w:cs="Tahoma"/>
          <w:color w:val="000000"/>
          <w:sz w:val="22"/>
          <w:szCs w:val="22"/>
        </w:rPr>
      </w:pPr>
      <w:r w:rsidRPr="00AE41DD">
        <w:rPr>
          <w:rFonts w:ascii="Tahoma" w:hAnsi="Tahoma" w:cs="Tahoma"/>
          <w:color w:val="000000"/>
          <w:sz w:val="22"/>
          <w:szCs w:val="22"/>
        </w:rPr>
        <w:t xml:space="preserve">Ramírez Maynetto </w:t>
      </w:r>
    </w:p>
    <w:p w:rsidR="00351F6F" w:rsidRPr="00AE41DD" w:rsidRDefault="00351F6F" w:rsidP="00351F6F">
      <w:pPr>
        <w:jc w:val="both"/>
        <w:rPr>
          <w:rFonts w:ascii="Tahoma" w:hAnsi="Tahoma" w:cs="Tahoma"/>
          <w:sz w:val="22"/>
          <w:szCs w:val="22"/>
        </w:rPr>
      </w:pPr>
      <w:r w:rsidRPr="00AE41DD">
        <w:rPr>
          <w:rFonts w:ascii="Tahoma" w:hAnsi="Tahoma" w:cs="Tahoma"/>
          <w:sz w:val="22"/>
          <w:szCs w:val="22"/>
        </w:rPr>
        <w:t>Basulto Liewald.</w:t>
      </w:r>
    </w:p>
    <w:p w:rsidR="002C6D86" w:rsidRPr="00AE41DD" w:rsidRDefault="00FA72CE" w:rsidP="00351F6F">
      <w:pPr>
        <w:jc w:val="both"/>
        <w:rPr>
          <w:rFonts w:ascii="Tahoma" w:hAnsi="Tahoma" w:cs="Tahoma"/>
          <w:sz w:val="22"/>
          <w:szCs w:val="22"/>
        </w:rPr>
      </w:pPr>
    </w:p>
    <w:sectPr w:rsidR="002C6D86" w:rsidRPr="00AE41DD"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72CE" w:rsidRDefault="00FA72CE" w:rsidP="00E13E6B">
      <w:r>
        <w:separator/>
      </w:r>
    </w:p>
  </w:endnote>
  <w:endnote w:type="continuationSeparator" w:id="1">
    <w:p w:rsidR="00FA72CE" w:rsidRDefault="00FA72CE" w:rsidP="00E1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6F0" w:rsidRDefault="00FA72CE" w:rsidP="00E066F0">
    <w:pPr>
      <w:pStyle w:val="Piedepgina"/>
      <w:jc w:val="center"/>
    </w:pPr>
  </w:p>
  <w:p w:rsidR="00E066F0" w:rsidRDefault="005B0EEA" w:rsidP="00E066F0">
    <w:pPr>
      <w:pStyle w:val="Piedepgina"/>
      <w:jc w:val="center"/>
    </w:pPr>
    <w:r>
      <w:t xml:space="preserve">Página </w:t>
    </w:r>
    <w:r w:rsidR="00B63B65">
      <w:fldChar w:fldCharType="begin"/>
    </w:r>
    <w:r>
      <w:instrText>PAGE</w:instrText>
    </w:r>
    <w:r w:rsidR="00B63B65">
      <w:fldChar w:fldCharType="separate"/>
    </w:r>
    <w:r w:rsidR="00ED7B21">
      <w:rPr>
        <w:noProof/>
      </w:rPr>
      <w:t>1</w:t>
    </w:r>
    <w:r w:rsidR="00B63B65">
      <w:fldChar w:fldCharType="end"/>
    </w:r>
    <w:r w:rsidRPr="006214E4">
      <w:t xml:space="preserve"> de </w:t>
    </w:r>
    <w:r w:rsidR="00B63B65">
      <w:fldChar w:fldCharType="begin"/>
    </w:r>
    <w:r>
      <w:instrText>NUMPAGES</w:instrText>
    </w:r>
    <w:r w:rsidR="00B63B65">
      <w:fldChar w:fldCharType="separate"/>
    </w:r>
    <w:r w:rsidR="00ED7B21">
      <w:rPr>
        <w:noProof/>
      </w:rPr>
      <w:t>14</w:t>
    </w:r>
    <w:r w:rsidR="00B63B65">
      <w:fldChar w:fldCharType="end"/>
    </w:r>
  </w:p>
  <w:p w:rsidR="00E066F0" w:rsidRPr="00223795" w:rsidRDefault="00FA72CE"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72CE" w:rsidRDefault="00FA72CE" w:rsidP="00E13E6B">
      <w:r>
        <w:separator/>
      </w:r>
    </w:p>
  </w:footnote>
  <w:footnote w:type="continuationSeparator" w:id="1">
    <w:p w:rsidR="00FA72CE" w:rsidRDefault="00FA72CE" w:rsidP="00E13E6B">
      <w:r>
        <w:continuationSeparator/>
      </w:r>
    </w:p>
  </w:footnote>
  <w:footnote w:id="2">
    <w:p w:rsidR="005E6E6D" w:rsidRPr="00BE58A0" w:rsidRDefault="005E6E6D" w:rsidP="005E6E6D">
      <w:pPr>
        <w:pStyle w:val="Textonotapie"/>
        <w:rPr>
          <w:sz w:val="14"/>
          <w:szCs w:val="14"/>
        </w:rPr>
      </w:pPr>
      <w:r w:rsidRPr="00BE58A0">
        <w:rPr>
          <w:rStyle w:val="Refdenotaalpie"/>
          <w:sz w:val="14"/>
          <w:szCs w:val="14"/>
        </w:rPr>
        <w:footnoteRef/>
      </w:r>
      <w:r w:rsidRPr="00BE58A0">
        <w:rPr>
          <w:sz w:val="14"/>
          <w:szCs w:val="14"/>
        </w:rPr>
        <w:t xml:space="preserve"> </w:t>
      </w:r>
      <w:r w:rsidRPr="00BE58A0">
        <w:rPr>
          <w:b/>
          <w:sz w:val="14"/>
          <w:szCs w:val="14"/>
        </w:rPr>
        <w:t>Artículo 51.- Infracciones y sanciones administrativas</w:t>
      </w:r>
    </w:p>
    <w:p w:rsidR="005E6E6D" w:rsidRPr="00BE58A0" w:rsidRDefault="005E6E6D" w:rsidP="005E6E6D">
      <w:pPr>
        <w:pStyle w:val="Textonotapie"/>
        <w:rPr>
          <w:sz w:val="14"/>
          <w:szCs w:val="14"/>
        </w:rPr>
      </w:pPr>
      <w:r w:rsidRPr="00BE58A0">
        <w:rPr>
          <w:sz w:val="14"/>
          <w:szCs w:val="14"/>
        </w:rPr>
        <w:t>51.1 Infracciones</w:t>
      </w:r>
    </w:p>
    <w:p w:rsidR="005E6E6D" w:rsidRPr="00BE58A0" w:rsidRDefault="005E6E6D" w:rsidP="005E6E6D">
      <w:pPr>
        <w:pStyle w:val="Textonotapie"/>
        <w:rPr>
          <w:sz w:val="14"/>
          <w:szCs w:val="14"/>
        </w:rPr>
      </w:pPr>
      <w:r w:rsidRPr="00BE58A0">
        <w:rPr>
          <w:sz w:val="14"/>
          <w:szCs w:val="14"/>
        </w:rPr>
        <w:t>Se impondrá sanción administrativa a los proveedores, participantes, postores y/o contratistas que:</w:t>
      </w:r>
    </w:p>
    <w:p w:rsidR="005E6E6D" w:rsidRPr="00BE58A0" w:rsidRDefault="005E6E6D" w:rsidP="005E6E6D">
      <w:pPr>
        <w:pStyle w:val="Textonotapie"/>
        <w:rPr>
          <w:sz w:val="14"/>
          <w:szCs w:val="14"/>
        </w:rPr>
      </w:pPr>
      <w:r w:rsidRPr="00BE58A0">
        <w:rPr>
          <w:sz w:val="14"/>
          <w:szCs w:val="14"/>
        </w:rPr>
        <w:t>(…)</w:t>
      </w:r>
    </w:p>
    <w:p w:rsidR="005E6E6D" w:rsidRPr="00BE58A0" w:rsidRDefault="005E6E6D" w:rsidP="005E6E6D">
      <w:pPr>
        <w:pStyle w:val="Textonotapie"/>
        <w:rPr>
          <w:sz w:val="14"/>
          <w:szCs w:val="14"/>
        </w:rPr>
      </w:pPr>
      <w:r w:rsidRPr="00BE58A0">
        <w:rPr>
          <w:sz w:val="14"/>
          <w:szCs w:val="14"/>
        </w:rPr>
        <w:t>b) Den lugar a la resolución del contrato, orden de compra o de servicios por causal atribuible a su  parte;</w:t>
      </w:r>
    </w:p>
  </w:footnote>
  <w:footnote w:id="3">
    <w:p w:rsidR="005E6E6D" w:rsidRPr="00BE58A0" w:rsidRDefault="005E6E6D" w:rsidP="005E6E6D">
      <w:pPr>
        <w:pStyle w:val="Textonotapie"/>
        <w:rPr>
          <w:sz w:val="14"/>
          <w:szCs w:val="14"/>
        </w:rPr>
      </w:pPr>
      <w:r w:rsidRPr="00BE58A0">
        <w:rPr>
          <w:rStyle w:val="Refdenotaalpie"/>
          <w:sz w:val="14"/>
          <w:szCs w:val="14"/>
        </w:rPr>
        <w:footnoteRef/>
      </w:r>
      <w:r w:rsidRPr="00BE58A0">
        <w:rPr>
          <w:sz w:val="14"/>
          <w:szCs w:val="14"/>
        </w:rPr>
        <w:t xml:space="preserve"> </w:t>
      </w:r>
      <w:r w:rsidRPr="00BE58A0">
        <w:rPr>
          <w:b/>
          <w:bCs/>
          <w:sz w:val="14"/>
          <w:szCs w:val="14"/>
        </w:rPr>
        <w:t>Artículo 237.- Causales de aplicación de sanción a los proveedores, participantes, postores y contratistas</w:t>
      </w:r>
    </w:p>
    <w:p w:rsidR="005E6E6D" w:rsidRPr="00BE58A0" w:rsidRDefault="005E6E6D" w:rsidP="005E6E6D">
      <w:pPr>
        <w:pStyle w:val="Textonotapie"/>
        <w:rPr>
          <w:sz w:val="14"/>
          <w:szCs w:val="14"/>
        </w:rPr>
      </w:pPr>
      <w:r w:rsidRPr="00BE58A0">
        <w:rPr>
          <w:sz w:val="14"/>
          <w:szCs w:val="14"/>
        </w:rPr>
        <w:t>El Tribunal impondrá la sanción administrativa de inhabilitación temporal o definitiva a los proveedores, participantes, postores y/o contratistas que:</w:t>
      </w:r>
    </w:p>
    <w:p w:rsidR="005E6E6D" w:rsidRPr="00BE58A0" w:rsidRDefault="005E6E6D" w:rsidP="005E6E6D">
      <w:pPr>
        <w:pStyle w:val="Textonotapie"/>
        <w:rPr>
          <w:sz w:val="14"/>
          <w:szCs w:val="14"/>
        </w:rPr>
      </w:pPr>
      <w:r w:rsidRPr="00BE58A0">
        <w:rPr>
          <w:sz w:val="14"/>
          <w:szCs w:val="14"/>
        </w:rPr>
        <w:t>(…)</w:t>
      </w:r>
    </w:p>
    <w:p w:rsidR="005E6E6D" w:rsidRPr="00BE58A0" w:rsidRDefault="005E6E6D" w:rsidP="005E6E6D">
      <w:pPr>
        <w:pStyle w:val="Textonotapie"/>
        <w:rPr>
          <w:sz w:val="14"/>
          <w:szCs w:val="14"/>
        </w:rPr>
      </w:pPr>
      <w:r w:rsidRPr="00BE58A0">
        <w:rPr>
          <w:sz w:val="14"/>
          <w:szCs w:val="14"/>
        </w:rPr>
        <w:t>2) Den lugar a la resolución del contrato, orden de compra o de servicios por causal atribuible a su parte.</w:t>
      </w:r>
    </w:p>
    <w:p w:rsidR="005E6E6D" w:rsidRPr="00BE58A0" w:rsidRDefault="005E6E6D" w:rsidP="005E6E6D">
      <w:pPr>
        <w:pStyle w:val="Textonotapie"/>
        <w:rPr>
          <w:sz w:val="14"/>
          <w:szCs w:val="14"/>
        </w:rPr>
      </w:pPr>
    </w:p>
  </w:footnote>
  <w:footnote w:id="4">
    <w:p w:rsidR="005E6E6D" w:rsidRPr="00CD30A1" w:rsidRDefault="005E6E6D" w:rsidP="001D44C0">
      <w:pPr>
        <w:pStyle w:val="Textonotapie"/>
        <w:jc w:val="both"/>
        <w:rPr>
          <w:rFonts w:cs="Tahoma"/>
          <w:sz w:val="18"/>
          <w:szCs w:val="18"/>
        </w:rPr>
      </w:pPr>
      <w:r w:rsidRPr="00C12921">
        <w:rPr>
          <w:rStyle w:val="Refdenotaalpie"/>
          <w:rFonts w:cs="Tahoma"/>
          <w:sz w:val="16"/>
          <w:szCs w:val="16"/>
        </w:rPr>
        <w:footnoteRef/>
      </w:r>
      <w:r w:rsidRPr="00C12921">
        <w:rPr>
          <w:rFonts w:cs="Tahoma"/>
          <w:sz w:val="16"/>
          <w:szCs w:val="16"/>
        </w:rPr>
        <w:t xml:space="preserve"> Acuerdo dictado en el marco de los entonces vigentes Texto Único Ordenado de la Ley de Contrataciones y Adquisiciones del Estado, aprobado por Decreto Supremo № 012-2001-PCM, y su Reglamento, aprobado por Decreto Supremo № 013-2001-PCM, pero que resulta igualmente aplicable al caso de autos por referirse a la misma materia.</w:t>
      </w:r>
    </w:p>
  </w:footnote>
  <w:footnote w:id="5">
    <w:p w:rsidR="005E6E6D" w:rsidRPr="00B851ED" w:rsidRDefault="005E6E6D" w:rsidP="005E6E6D">
      <w:pPr>
        <w:autoSpaceDE w:val="0"/>
        <w:autoSpaceDN w:val="0"/>
        <w:adjustRightInd w:val="0"/>
        <w:rPr>
          <w:b/>
          <w:sz w:val="14"/>
          <w:szCs w:val="14"/>
        </w:rPr>
      </w:pPr>
      <w:r w:rsidRPr="00B851ED">
        <w:rPr>
          <w:rStyle w:val="Refdenotaalpie"/>
          <w:sz w:val="14"/>
          <w:szCs w:val="14"/>
        </w:rPr>
        <w:footnoteRef/>
      </w:r>
      <w:r w:rsidRPr="00B851ED">
        <w:rPr>
          <w:sz w:val="14"/>
          <w:szCs w:val="14"/>
        </w:rPr>
        <w:t xml:space="preserve"> </w:t>
      </w:r>
      <w:r w:rsidRPr="00B851ED">
        <w:rPr>
          <w:b/>
          <w:sz w:val="14"/>
          <w:szCs w:val="14"/>
        </w:rPr>
        <w:t>Artículo 24.- Fe Pública</w:t>
      </w:r>
    </w:p>
    <w:p w:rsidR="005E6E6D" w:rsidRPr="00B851ED" w:rsidRDefault="005E6E6D" w:rsidP="005E6E6D">
      <w:pPr>
        <w:autoSpaceDE w:val="0"/>
        <w:autoSpaceDN w:val="0"/>
        <w:adjustRightInd w:val="0"/>
        <w:ind w:left="266" w:hanging="14"/>
        <w:rPr>
          <w:sz w:val="14"/>
          <w:szCs w:val="14"/>
        </w:rPr>
      </w:pPr>
      <w:r w:rsidRPr="00B851ED">
        <w:rPr>
          <w:sz w:val="14"/>
          <w:szCs w:val="14"/>
        </w:rPr>
        <w:t>Los instrumentos públicos notariales otorgados con arreglo a lo dispuesto en la ley, producen fe respecto a la realización del acto jurídico y de los hechos y circunstancias que el notario presencie.</w:t>
      </w:r>
    </w:p>
    <w:p w:rsidR="005E6E6D" w:rsidRPr="00B851ED" w:rsidRDefault="005E6E6D" w:rsidP="005E6E6D">
      <w:pPr>
        <w:autoSpaceDE w:val="0"/>
        <w:autoSpaceDN w:val="0"/>
        <w:adjustRightInd w:val="0"/>
        <w:ind w:left="266" w:hanging="14"/>
        <w:rPr>
          <w:sz w:val="14"/>
          <w:szCs w:val="14"/>
        </w:rPr>
      </w:pPr>
    </w:p>
    <w:p w:rsidR="005E6E6D" w:rsidRPr="00B851ED" w:rsidRDefault="005E6E6D" w:rsidP="005E6E6D">
      <w:pPr>
        <w:autoSpaceDE w:val="0"/>
        <w:autoSpaceDN w:val="0"/>
        <w:adjustRightInd w:val="0"/>
        <w:ind w:firstLine="284"/>
        <w:rPr>
          <w:b/>
          <w:sz w:val="14"/>
          <w:szCs w:val="14"/>
        </w:rPr>
      </w:pPr>
      <w:r w:rsidRPr="00B851ED">
        <w:rPr>
          <w:b/>
          <w:sz w:val="14"/>
          <w:szCs w:val="14"/>
        </w:rPr>
        <w:t>Artículo 26.- Instrumentos Públicos Extraprotocolares</w:t>
      </w:r>
    </w:p>
    <w:p w:rsidR="005E6E6D" w:rsidRPr="00B851ED" w:rsidRDefault="005E6E6D" w:rsidP="005E6E6D">
      <w:pPr>
        <w:autoSpaceDE w:val="0"/>
        <w:autoSpaceDN w:val="0"/>
        <w:adjustRightInd w:val="0"/>
        <w:ind w:left="284"/>
        <w:rPr>
          <w:sz w:val="14"/>
          <w:szCs w:val="14"/>
        </w:rPr>
      </w:pPr>
      <w:r w:rsidRPr="00B851ED">
        <w:rPr>
          <w:sz w:val="14"/>
          <w:szCs w:val="14"/>
        </w:rPr>
        <w:t>Son instrumentos públicos extraprotocolares las actas y demás certificaciones notariales que se refieren a actos, hechos o circunstancias que presencie o le conste al notario por razón de su función.</w:t>
      </w:r>
    </w:p>
    <w:p w:rsidR="005E6E6D" w:rsidRPr="00B851ED" w:rsidRDefault="005E6E6D" w:rsidP="005E6E6D">
      <w:pPr>
        <w:autoSpaceDE w:val="0"/>
        <w:autoSpaceDN w:val="0"/>
        <w:adjustRightInd w:val="0"/>
        <w:ind w:left="284"/>
        <w:rPr>
          <w:sz w:val="14"/>
          <w:szCs w:val="14"/>
        </w:rPr>
      </w:pPr>
    </w:p>
    <w:p w:rsidR="005E6E6D" w:rsidRPr="00B851ED" w:rsidRDefault="005E6E6D" w:rsidP="005E6E6D">
      <w:pPr>
        <w:autoSpaceDE w:val="0"/>
        <w:autoSpaceDN w:val="0"/>
        <w:adjustRightInd w:val="0"/>
        <w:ind w:left="284"/>
        <w:rPr>
          <w:b/>
          <w:sz w:val="14"/>
          <w:szCs w:val="14"/>
        </w:rPr>
      </w:pPr>
      <w:r w:rsidRPr="00B851ED">
        <w:rPr>
          <w:b/>
          <w:sz w:val="14"/>
          <w:szCs w:val="14"/>
        </w:rPr>
        <w:t>Artículo 95.- Clases de certificaciones</w:t>
      </w:r>
    </w:p>
    <w:p w:rsidR="005E6E6D" w:rsidRPr="00B851ED" w:rsidRDefault="005E6E6D" w:rsidP="005E6E6D">
      <w:pPr>
        <w:autoSpaceDE w:val="0"/>
        <w:autoSpaceDN w:val="0"/>
        <w:adjustRightInd w:val="0"/>
        <w:ind w:left="284"/>
        <w:rPr>
          <w:sz w:val="14"/>
          <w:szCs w:val="14"/>
        </w:rPr>
      </w:pPr>
      <w:r w:rsidRPr="00B851ED">
        <w:rPr>
          <w:sz w:val="14"/>
          <w:szCs w:val="14"/>
        </w:rPr>
        <w:t>Son certificaciones:</w:t>
      </w:r>
    </w:p>
    <w:p w:rsidR="005E6E6D" w:rsidRPr="00B851ED" w:rsidRDefault="005E6E6D" w:rsidP="005E6E6D">
      <w:pPr>
        <w:autoSpaceDE w:val="0"/>
        <w:autoSpaceDN w:val="0"/>
        <w:adjustRightInd w:val="0"/>
        <w:ind w:left="284"/>
        <w:rPr>
          <w:b/>
          <w:sz w:val="14"/>
          <w:szCs w:val="14"/>
        </w:rPr>
      </w:pPr>
      <w:r w:rsidRPr="00B851ED">
        <w:rPr>
          <w:sz w:val="14"/>
          <w:szCs w:val="14"/>
        </w:rPr>
        <w:t xml:space="preserve">a) </w:t>
      </w:r>
      <w:r w:rsidRPr="00B851ED">
        <w:rPr>
          <w:b/>
          <w:sz w:val="14"/>
          <w:szCs w:val="14"/>
        </w:rPr>
        <w:t>La entrega de cartas notariales.</w:t>
      </w:r>
    </w:p>
    <w:p w:rsidR="005E6E6D" w:rsidRPr="00B851ED" w:rsidRDefault="005E6E6D" w:rsidP="005E6E6D">
      <w:pPr>
        <w:autoSpaceDE w:val="0"/>
        <w:autoSpaceDN w:val="0"/>
        <w:adjustRightInd w:val="0"/>
        <w:ind w:left="284"/>
        <w:rPr>
          <w:sz w:val="14"/>
          <w:szCs w:val="14"/>
        </w:rPr>
      </w:pPr>
      <w:r w:rsidRPr="00B851ED">
        <w:rPr>
          <w:sz w:val="14"/>
          <w:szCs w:val="14"/>
        </w:rPr>
        <w:t>b) La expedición de copias certificadas.</w:t>
      </w:r>
    </w:p>
    <w:p w:rsidR="005E6E6D" w:rsidRPr="00B851ED" w:rsidRDefault="005E6E6D" w:rsidP="005E6E6D">
      <w:pPr>
        <w:autoSpaceDE w:val="0"/>
        <w:autoSpaceDN w:val="0"/>
        <w:adjustRightInd w:val="0"/>
        <w:ind w:left="284"/>
        <w:rPr>
          <w:sz w:val="14"/>
          <w:szCs w:val="14"/>
        </w:rPr>
      </w:pPr>
      <w:r w:rsidRPr="00B851ED">
        <w:rPr>
          <w:sz w:val="14"/>
          <w:szCs w:val="14"/>
        </w:rPr>
        <w:t>c) La certificación de firmas.</w:t>
      </w:r>
    </w:p>
    <w:p w:rsidR="005E6E6D" w:rsidRPr="00B851ED" w:rsidRDefault="005E6E6D" w:rsidP="005E6E6D">
      <w:pPr>
        <w:autoSpaceDE w:val="0"/>
        <w:autoSpaceDN w:val="0"/>
        <w:adjustRightInd w:val="0"/>
        <w:ind w:left="284"/>
        <w:rPr>
          <w:sz w:val="14"/>
          <w:szCs w:val="14"/>
        </w:rPr>
      </w:pPr>
      <w:r w:rsidRPr="00B851ED">
        <w:rPr>
          <w:sz w:val="14"/>
          <w:szCs w:val="14"/>
        </w:rPr>
        <w:t>d) La certificación de reproducciones.</w:t>
      </w:r>
    </w:p>
    <w:p w:rsidR="005E6E6D" w:rsidRPr="00B851ED" w:rsidRDefault="005E6E6D" w:rsidP="005E6E6D">
      <w:pPr>
        <w:autoSpaceDE w:val="0"/>
        <w:autoSpaceDN w:val="0"/>
        <w:adjustRightInd w:val="0"/>
        <w:ind w:left="284"/>
        <w:rPr>
          <w:sz w:val="14"/>
          <w:szCs w:val="14"/>
        </w:rPr>
      </w:pPr>
      <w:r w:rsidRPr="00B851ED">
        <w:rPr>
          <w:sz w:val="14"/>
          <w:szCs w:val="14"/>
        </w:rPr>
        <w:t>e) La certificación de apertura de libros.</w:t>
      </w:r>
    </w:p>
    <w:p w:rsidR="005E6E6D" w:rsidRPr="00B851ED" w:rsidRDefault="005E6E6D" w:rsidP="005E6E6D">
      <w:pPr>
        <w:autoSpaceDE w:val="0"/>
        <w:autoSpaceDN w:val="0"/>
        <w:adjustRightInd w:val="0"/>
        <w:ind w:left="284"/>
        <w:rPr>
          <w:sz w:val="14"/>
          <w:szCs w:val="14"/>
        </w:rPr>
      </w:pPr>
      <w:r w:rsidRPr="00B851ED">
        <w:rPr>
          <w:sz w:val="14"/>
          <w:szCs w:val="14"/>
        </w:rPr>
        <w:t>f) La constatación de supervivencia.</w:t>
      </w:r>
    </w:p>
    <w:p w:rsidR="005E6E6D" w:rsidRPr="00B851ED" w:rsidRDefault="005E6E6D" w:rsidP="005E6E6D">
      <w:pPr>
        <w:autoSpaceDE w:val="0"/>
        <w:autoSpaceDN w:val="0"/>
        <w:adjustRightInd w:val="0"/>
        <w:ind w:left="284"/>
        <w:rPr>
          <w:sz w:val="14"/>
          <w:szCs w:val="14"/>
        </w:rPr>
      </w:pPr>
      <w:r w:rsidRPr="00B851ED">
        <w:rPr>
          <w:sz w:val="14"/>
          <w:szCs w:val="14"/>
        </w:rPr>
        <w:t>g) La constatación domiciliaria; y,</w:t>
      </w:r>
    </w:p>
    <w:p w:rsidR="005E6E6D" w:rsidRPr="00E1227E" w:rsidRDefault="005E6E6D" w:rsidP="005E6E6D">
      <w:pPr>
        <w:autoSpaceDE w:val="0"/>
        <w:autoSpaceDN w:val="0"/>
        <w:adjustRightInd w:val="0"/>
        <w:ind w:left="284"/>
        <w:rPr>
          <w:sz w:val="14"/>
          <w:szCs w:val="14"/>
        </w:rPr>
      </w:pPr>
      <w:r w:rsidRPr="00E1227E">
        <w:rPr>
          <w:sz w:val="14"/>
          <w:szCs w:val="14"/>
        </w:rPr>
        <w:t>h) Otras que la ley determine.</w:t>
      </w:r>
    </w:p>
    <w:p w:rsidR="005E6E6D" w:rsidRPr="00E1227E" w:rsidRDefault="005E6E6D" w:rsidP="005E6E6D">
      <w:pPr>
        <w:autoSpaceDE w:val="0"/>
        <w:autoSpaceDN w:val="0"/>
        <w:adjustRightInd w:val="0"/>
        <w:ind w:left="284"/>
        <w:rPr>
          <w:sz w:val="14"/>
          <w:szCs w:val="14"/>
        </w:rPr>
      </w:pPr>
    </w:p>
    <w:p w:rsidR="005E6E6D" w:rsidRPr="00E1227E" w:rsidRDefault="005E6E6D" w:rsidP="005E6E6D">
      <w:pPr>
        <w:autoSpaceDE w:val="0"/>
        <w:autoSpaceDN w:val="0"/>
        <w:adjustRightInd w:val="0"/>
        <w:ind w:left="284"/>
        <w:rPr>
          <w:b/>
          <w:sz w:val="14"/>
          <w:szCs w:val="14"/>
        </w:rPr>
      </w:pPr>
      <w:r w:rsidRPr="00E1227E">
        <w:rPr>
          <w:b/>
          <w:sz w:val="14"/>
          <w:szCs w:val="14"/>
        </w:rPr>
        <w:t>Artículo 100.- Definición</w:t>
      </w:r>
    </w:p>
    <w:p w:rsidR="005E6E6D" w:rsidRPr="00E1227E" w:rsidRDefault="005E6E6D" w:rsidP="005E6E6D">
      <w:pPr>
        <w:autoSpaceDE w:val="0"/>
        <w:autoSpaceDN w:val="0"/>
        <w:adjustRightInd w:val="0"/>
        <w:ind w:left="284"/>
        <w:rPr>
          <w:sz w:val="14"/>
          <w:szCs w:val="14"/>
        </w:rPr>
      </w:pPr>
      <w:r w:rsidRPr="00E1227E">
        <w:rPr>
          <w:sz w:val="14"/>
          <w:szCs w:val="14"/>
        </w:rPr>
        <w:t>El notario certificará la entrega de cartas e instrumentos que los interesados le soliciten, a la dirección del destinatario, dentro de los límites de su jurisdicción, dejando constancia de su entrega o de las circunstancias de su diligenciamiento en el duplicado que devolverá a los interesados.</w:t>
      </w:r>
    </w:p>
  </w:footnote>
  <w:footnote w:id="6">
    <w:p w:rsidR="005E6E6D" w:rsidRPr="00BE58A0" w:rsidRDefault="005E6E6D" w:rsidP="005E6E6D">
      <w:pPr>
        <w:pStyle w:val="Textonotapie"/>
        <w:ind w:left="224" w:hanging="224"/>
        <w:rPr>
          <w:bCs/>
          <w:color w:val="000000"/>
          <w:sz w:val="16"/>
          <w:szCs w:val="16"/>
        </w:rPr>
      </w:pPr>
      <w:r w:rsidRPr="00BE58A0">
        <w:rPr>
          <w:rStyle w:val="Refdenotaalpie"/>
          <w:sz w:val="16"/>
          <w:szCs w:val="16"/>
        </w:rPr>
        <w:footnoteRef/>
      </w:r>
      <w:r w:rsidRPr="00BE58A0">
        <w:rPr>
          <w:sz w:val="16"/>
          <w:szCs w:val="16"/>
        </w:rPr>
        <w:t xml:space="preserve"> </w:t>
      </w:r>
      <w:r w:rsidRPr="00BE58A0">
        <w:rPr>
          <w:bCs/>
          <w:color w:val="000000"/>
          <w:sz w:val="16"/>
          <w:szCs w:val="16"/>
        </w:rPr>
        <w:t>Salas Marrero, Oscar.   Derecho Notarial de Centroamérica y Panamá, Editorial Costa Rica, 1971. pág. 91, 92.</w:t>
      </w:r>
    </w:p>
    <w:p w:rsidR="005E6E6D" w:rsidRPr="00DD2A97" w:rsidRDefault="005E6E6D" w:rsidP="005E6E6D">
      <w:pPr>
        <w:pStyle w:val="Textonotapie"/>
        <w:ind w:left="224" w:hanging="224"/>
      </w:pPr>
    </w:p>
  </w:footnote>
  <w:footnote w:id="7">
    <w:p w:rsidR="005E6E6D" w:rsidRPr="0069745D" w:rsidRDefault="005E6E6D" w:rsidP="005E6E6D">
      <w:pPr>
        <w:pStyle w:val="Textonotapie"/>
        <w:tabs>
          <w:tab w:val="left" w:pos="284"/>
        </w:tabs>
        <w:ind w:left="284" w:hanging="284"/>
        <w:rPr>
          <w:b/>
          <w:bCs/>
          <w:color w:val="000000"/>
          <w:sz w:val="16"/>
          <w:szCs w:val="16"/>
        </w:rPr>
      </w:pPr>
      <w:r w:rsidRPr="0069745D">
        <w:rPr>
          <w:rStyle w:val="Refdenotaalpie"/>
          <w:rFonts w:cs="Tahoma"/>
          <w:sz w:val="16"/>
          <w:szCs w:val="16"/>
        </w:rPr>
        <w:footnoteRef/>
      </w:r>
      <w:r w:rsidRPr="0069745D">
        <w:rPr>
          <w:rFonts w:cs="Tahoma"/>
          <w:sz w:val="16"/>
          <w:szCs w:val="16"/>
        </w:rPr>
        <w:t xml:space="preserve"> </w:t>
      </w:r>
      <w:r w:rsidRPr="0069745D">
        <w:rPr>
          <w:b/>
          <w:bCs/>
          <w:color w:val="000000"/>
          <w:sz w:val="16"/>
          <w:szCs w:val="16"/>
        </w:rPr>
        <w:t>Artículo 170.- Efectos de la resolución.-</w:t>
      </w:r>
    </w:p>
    <w:p w:rsidR="005E6E6D" w:rsidRPr="0069745D" w:rsidRDefault="005E6E6D" w:rsidP="005E6E6D">
      <w:pPr>
        <w:pStyle w:val="Textonotapie"/>
        <w:tabs>
          <w:tab w:val="left" w:pos="284"/>
        </w:tabs>
        <w:ind w:left="284" w:hanging="60"/>
        <w:rPr>
          <w:bCs/>
          <w:color w:val="000000"/>
          <w:sz w:val="16"/>
          <w:szCs w:val="16"/>
        </w:rPr>
      </w:pPr>
      <w:r w:rsidRPr="0069745D">
        <w:rPr>
          <w:bCs/>
          <w:color w:val="000000"/>
          <w:sz w:val="16"/>
          <w:szCs w:val="16"/>
        </w:rPr>
        <w:t>(…)</w:t>
      </w:r>
    </w:p>
    <w:p w:rsidR="005E6E6D" w:rsidRPr="0069745D" w:rsidRDefault="005E6E6D" w:rsidP="005E6E6D">
      <w:pPr>
        <w:pStyle w:val="Textonotapie"/>
        <w:ind w:left="284"/>
        <w:rPr>
          <w:color w:val="000000"/>
          <w:sz w:val="16"/>
          <w:szCs w:val="16"/>
        </w:rPr>
      </w:pPr>
      <w:r w:rsidRPr="0069745D">
        <w:rPr>
          <w:color w:val="000000"/>
          <w:sz w:val="16"/>
          <w:szCs w:val="16"/>
        </w:rPr>
        <w:t xml:space="preserve">Cualquier controversia relacionada con la resolución del contrato podrá ser sometida por la parte interesada a conciliación y/o arbitraje dentro de los </w:t>
      </w:r>
      <w:r w:rsidRPr="0069745D">
        <w:rPr>
          <w:b/>
          <w:color w:val="000000"/>
          <w:sz w:val="16"/>
          <w:szCs w:val="16"/>
          <w:u w:val="single"/>
        </w:rPr>
        <w:t>quince (15) días hábiles</w:t>
      </w:r>
      <w:r w:rsidRPr="0069745D">
        <w:rPr>
          <w:color w:val="000000"/>
          <w:sz w:val="16"/>
          <w:szCs w:val="16"/>
        </w:rPr>
        <w:t xml:space="preserve"> siguientes de comunicada la resolución. Vencido este plazo sin que se haya iniciado ninguno de estos procedimientos, se entenderá que la resolución del contrato ha quedado consentida. </w:t>
      </w:r>
    </w:p>
    <w:p w:rsidR="005E6E6D" w:rsidRPr="00D1498F" w:rsidRDefault="005E6E6D" w:rsidP="005E6E6D">
      <w:pPr>
        <w:pStyle w:val="Textonotapie"/>
        <w:rPr>
          <w:rFonts w:cs="Tahoma"/>
        </w:rPr>
      </w:pPr>
    </w:p>
  </w:footnote>
  <w:footnote w:id="8">
    <w:p w:rsidR="005E6E6D" w:rsidRPr="008A535F" w:rsidRDefault="005E6E6D" w:rsidP="005E6E6D">
      <w:pPr>
        <w:pStyle w:val="Textonotapie"/>
        <w:ind w:left="142" w:hanging="142"/>
        <w:rPr>
          <w:rFonts w:cs="Tahoma"/>
          <w:sz w:val="16"/>
          <w:szCs w:val="16"/>
        </w:rPr>
      </w:pPr>
      <w:r w:rsidRPr="008A535F">
        <w:rPr>
          <w:rStyle w:val="Refdenotaalpie"/>
          <w:rFonts w:cs="Tahoma"/>
          <w:i/>
          <w:sz w:val="16"/>
          <w:szCs w:val="16"/>
        </w:rPr>
        <w:footnoteRef/>
      </w:r>
      <w:r w:rsidRPr="008A535F">
        <w:rPr>
          <w:rFonts w:cs="Tahoma"/>
          <w:i/>
          <w:sz w:val="16"/>
          <w:szCs w:val="16"/>
        </w:rPr>
        <w:t xml:space="preserve"> </w:t>
      </w:r>
      <w:r w:rsidRPr="008A535F">
        <w:rPr>
          <w:rFonts w:cs="Tahoma"/>
          <w:b/>
          <w:sz w:val="16"/>
          <w:szCs w:val="16"/>
        </w:rPr>
        <w:t>Artículo 1329.-</w:t>
      </w:r>
      <w:r w:rsidRPr="008A535F">
        <w:rPr>
          <w:rFonts w:cs="Tahoma"/>
          <w:sz w:val="16"/>
          <w:szCs w:val="16"/>
        </w:rPr>
        <w:t xml:space="preserve"> Se presume que la inejecución de la obligación o su cumplimiento parcial, tardío o defectuoso obedece a culpa leve del deudor.</w:t>
      </w:r>
    </w:p>
    <w:p w:rsidR="005E6E6D" w:rsidRPr="008A535F" w:rsidRDefault="005E6E6D" w:rsidP="005E6E6D">
      <w:pPr>
        <w:pStyle w:val="Textonotapie"/>
        <w:ind w:left="142" w:hanging="142"/>
        <w:rPr>
          <w:rFonts w:cs="Tahoma"/>
          <w:sz w:val="16"/>
          <w:szCs w:val="16"/>
        </w:rPr>
      </w:pPr>
    </w:p>
  </w:footnote>
  <w:footnote w:id="9">
    <w:p w:rsidR="005E6E6D" w:rsidRPr="00DB2292" w:rsidRDefault="005E6E6D" w:rsidP="005E6E6D">
      <w:pPr>
        <w:pStyle w:val="Textonotapie"/>
        <w:rPr>
          <w:b/>
          <w:sz w:val="16"/>
          <w:szCs w:val="16"/>
        </w:rPr>
      </w:pPr>
      <w:r w:rsidRPr="00DB2292">
        <w:rPr>
          <w:rStyle w:val="Refdenotaalpie"/>
          <w:rFonts w:cs="Tahoma"/>
          <w:sz w:val="16"/>
          <w:szCs w:val="16"/>
        </w:rPr>
        <w:footnoteRef/>
      </w:r>
      <w:r w:rsidRPr="00DB2292">
        <w:rPr>
          <w:rFonts w:cs="Tahoma"/>
          <w:sz w:val="16"/>
          <w:szCs w:val="16"/>
        </w:rPr>
        <w:t xml:space="preserve"> </w:t>
      </w:r>
      <w:r w:rsidRPr="00DB2292">
        <w:rPr>
          <w:b/>
          <w:sz w:val="16"/>
          <w:szCs w:val="16"/>
        </w:rPr>
        <w:t>Artículo 245.- Determinación gradual de la sanción.-</w:t>
      </w:r>
    </w:p>
    <w:p w:rsidR="005E6E6D" w:rsidRPr="00DB2292" w:rsidRDefault="005E6E6D" w:rsidP="005E6E6D">
      <w:pPr>
        <w:pStyle w:val="Textonotapie"/>
        <w:rPr>
          <w:sz w:val="16"/>
          <w:szCs w:val="16"/>
        </w:rPr>
      </w:pPr>
      <w:r w:rsidRPr="00DB2292">
        <w:rPr>
          <w:sz w:val="16"/>
          <w:szCs w:val="16"/>
        </w:rPr>
        <w:t xml:space="preserve"> Para graduar la sanción de inhabilitación temporal a imponerse conforme a las disposiciones del presente Titulo, el Tribunal considerará los siguientes criterios: </w:t>
      </w:r>
    </w:p>
    <w:p w:rsidR="005E6E6D" w:rsidRPr="00DB2292" w:rsidRDefault="005E6E6D" w:rsidP="005E6E6D">
      <w:pPr>
        <w:pStyle w:val="Textonotapie"/>
        <w:numPr>
          <w:ilvl w:val="0"/>
          <w:numId w:val="14"/>
        </w:numPr>
        <w:rPr>
          <w:sz w:val="16"/>
          <w:szCs w:val="16"/>
        </w:rPr>
      </w:pPr>
      <w:r w:rsidRPr="00DB2292">
        <w:rPr>
          <w:sz w:val="16"/>
          <w:szCs w:val="16"/>
        </w:rPr>
        <w:t>Naturaleza de la infracción.</w:t>
      </w:r>
    </w:p>
    <w:p w:rsidR="005E6E6D" w:rsidRPr="00DB2292" w:rsidRDefault="005E6E6D" w:rsidP="005E6E6D">
      <w:pPr>
        <w:pStyle w:val="Textonotapie"/>
        <w:numPr>
          <w:ilvl w:val="0"/>
          <w:numId w:val="14"/>
        </w:numPr>
        <w:rPr>
          <w:sz w:val="16"/>
          <w:szCs w:val="16"/>
        </w:rPr>
      </w:pPr>
      <w:r w:rsidRPr="00DB2292">
        <w:rPr>
          <w:sz w:val="16"/>
          <w:szCs w:val="16"/>
        </w:rPr>
        <w:t>Intencionalidad del infractor.</w:t>
      </w:r>
    </w:p>
    <w:p w:rsidR="005E6E6D" w:rsidRPr="00DB2292" w:rsidRDefault="005E6E6D" w:rsidP="005E6E6D">
      <w:pPr>
        <w:pStyle w:val="Textonotapie"/>
        <w:numPr>
          <w:ilvl w:val="0"/>
          <w:numId w:val="14"/>
        </w:numPr>
        <w:rPr>
          <w:b/>
          <w:sz w:val="16"/>
          <w:szCs w:val="16"/>
        </w:rPr>
      </w:pPr>
      <w:r w:rsidRPr="00DB2292">
        <w:rPr>
          <w:sz w:val="16"/>
          <w:szCs w:val="16"/>
        </w:rPr>
        <w:t>Daño causado.</w:t>
      </w:r>
    </w:p>
    <w:p w:rsidR="005E6E6D" w:rsidRPr="00DB2292" w:rsidRDefault="005E6E6D" w:rsidP="005E6E6D">
      <w:pPr>
        <w:pStyle w:val="Textonotapie"/>
        <w:numPr>
          <w:ilvl w:val="0"/>
          <w:numId w:val="14"/>
        </w:numPr>
        <w:rPr>
          <w:b/>
          <w:sz w:val="16"/>
          <w:szCs w:val="16"/>
        </w:rPr>
      </w:pPr>
      <w:r w:rsidRPr="00DB2292">
        <w:rPr>
          <w:sz w:val="16"/>
          <w:szCs w:val="16"/>
        </w:rPr>
        <w:t>Reiterancia.</w:t>
      </w:r>
    </w:p>
    <w:p w:rsidR="005E6E6D" w:rsidRPr="00DB2292" w:rsidRDefault="005E6E6D" w:rsidP="005E6E6D">
      <w:pPr>
        <w:pStyle w:val="Textonotapie"/>
        <w:numPr>
          <w:ilvl w:val="0"/>
          <w:numId w:val="14"/>
        </w:numPr>
        <w:rPr>
          <w:b/>
          <w:sz w:val="16"/>
          <w:szCs w:val="16"/>
        </w:rPr>
      </w:pPr>
      <w:r w:rsidRPr="00DB2292">
        <w:rPr>
          <w:sz w:val="16"/>
          <w:szCs w:val="16"/>
        </w:rPr>
        <w:t>El reconocimiento de la infracción antes de que sea detectada.</w:t>
      </w:r>
    </w:p>
    <w:p w:rsidR="005E6E6D" w:rsidRPr="00DB2292" w:rsidRDefault="005E6E6D" w:rsidP="005E6E6D">
      <w:pPr>
        <w:pStyle w:val="Textonotapie"/>
        <w:numPr>
          <w:ilvl w:val="0"/>
          <w:numId w:val="14"/>
        </w:numPr>
        <w:rPr>
          <w:b/>
          <w:sz w:val="16"/>
          <w:szCs w:val="16"/>
        </w:rPr>
      </w:pPr>
      <w:r w:rsidRPr="00DB2292">
        <w:rPr>
          <w:sz w:val="16"/>
          <w:szCs w:val="16"/>
        </w:rPr>
        <w:t>Circunstancias de tiempo, lugar y modo.</w:t>
      </w:r>
    </w:p>
    <w:p w:rsidR="005E6E6D" w:rsidRPr="00DB2292" w:rsidRDefault="005E6E6D" w:rsidP="005E6E6D">
      <w:pPr>
        <w:pStyle w:val="Textonotapie"/>
        <w:numPr>
          <w:ilvl w:val="0"/>
          <w:numId w:val="14"/>
        </w:numPr>
        <w:rPr>
          <w:b/>
          <w:sz w:val="16"/>
          <w:szCs w:val="16"/>
        </w:rPr>
      </w:pPr>
      <w:r w:rsidRPr="00DB2292">
        <w:rPr>
          <w:sz w:val="16"/>
          <w:szCs w:val="16"/>
        </w:rPr>
        <w:t>Condiciones del Infractor.</w:t>
      </w:r>
    </w:p>
    <w:p w:rsidR="005E6E6D" w:rsidRPr="00DB2292" w:rsidRDefault="005E6E6D" w:rsidP="005E6E6D">
      <w:pPr>
        <w:pStyle w:val="Textonotapie"/>
        <w:numPr>
          <w:ilvl w:val="0"/>
          <w:numId w:val="14"/>
        </w:numPr>
        <w:rPr>
          <w:b/>
          <w:sz w:val="16"/>
          <w:szCs w:val="16"/>
        </w:rPr>
      </w:pPr>
      <w:r w:rsidRPr="00DB2292">
        <w:rPr>
          <w:sz w:val="16"/>
          <w:szCs w:val="16"/>
        </w:rPr>
        <w:t>Conducta procesal del infractor.</w:t>
      </w:r>
    </w:p>
    <w:p w:rsidR="005E6E6D" w:rsidRPr="00616C93" w:rsidRDefault="005E6E6D" w:rsidP="005E6E6D">
      <w:pPr>
        <w:pStyle w:val="Textonotapie"/>
        <w:ind w:left="120"/>
        <w:rPr>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B21" w:rsidRDefault="00ED7B21" w:rsidP="00ED7B21">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ED7B21" w:rsidRDefault="00ED7B21" w:rsidP="00ED7B21">
    <w:pPr>
      <w:pStyle w:val="Encabezado"/>
      <w:rPr>
        <w:noProof/>
      </w:rPr>
    </w:pPr>
  </w:p>
  <w:p w:rsidR="00ED7B21" w:rsidRDefault="00ED7B21" w:rsidP="00ED7B21">
    <w:pPr>
      <w:pStyle w:val="Encabezado"/>
      <w:rPr>
        <w:noProof/>
      </w:rPr>
    </w:pPr>
  </w:p>
  <w:p w:rsidR="00ED7B21" w:rsidRDefault="00ED7B21" w:rsidP="00ED7B21">
    <w:pPr>
      <w:pStyle w:val="Encabezado"/>
      <w:rPr>
        <w:noProof/>
      </w:rPr>
    </w:pPr>
  </w:p>
  <w:p w:rsidR="00ED7B21" w:rsidRDefault="00ED7B21" w:rsidP="00ED7B21">
    <w:pPr>
      <w:pStyle w:val="Encabezado"/>
      <w:jc w:val="center"/>
    </w:pPr>
    <w:r>
      <w:rPr>
        <w:rFonts w:ascii="Monotype Corsiva" w:hAnsi="Monotype Corsiva"/>
        <w:b/>
        <w:sz w:val="44"/>
        <w:szCs w:val="44"/>
      </w:rPr>
      <w:t xml:space="preserve">Resolución Nº   </w:t>
    </w:r>
    <w:r>
      <w:rPr>
        <w:rFonts w:ascii="Tahoma" w:hAnsi="Tahoma" w:cs="Tahoma"/>
        <w:b/>
        <w:sz w:val="44"/>
        <w:szCs w:val="44"/>
      </w:rPr>
      <w:t>849-2011-TC-S1</w:t>
    </w:r>
  </w:p>
  <w:p w:rsidR="00ED7B21" w:rsidRDefault="00ED7B2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D82"/>
    <w:multiLevelType w:val="hybridMultilevel"/>
    <w:tmpl w:val="B22A7B0C"/>
    <w:lvl w:ilvl="0" w:tplc="D7A8BF70">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3FA3E39"/>
    <w:multiLevelType w:val="hybridMultilevel"/>
    <w:tmpl w:val="63AC2896"/>
    <w:lvl w:ilvl="0" w:tplc="666C9DE2">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48E5AC7"/>
    <w:multiLevelType w:val="hybridMultilevel"/>
    <w:tmpl w:val="AD7CEC18"/>
    <w:lvl w:ilvl="0" w:tplc="0E54F300">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96E7451"/>
    <w:multiLevelType w:val="hybridMultilevel"/>
    <w:tmpl w:val="45E23DBA"/>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0D89661A"/>
    <w:multiLevelType w:val="hybridMultilevel"/>
    <w:tmpl w:val="63F06F2C"/>
    <w:lvl w:ilvl="0" w:tplc="D69A56F8">
      <w:start w:val="1"/>
      <w:numFmt w:val="decimal"/>
      <w:lvlText w:val="%1."/>
      <w:lvlJc w:val="left"/>
      <w:pPr>
        <w:tabs>
          <w:tab w:val="num" w:pos="596"/>
        </w:tabs>
        <w:ind w:left="596"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65109CF8">
      <w:start w:val="1"/>
      <w:numFmt w:val="lowerRoman"/>
      <w:lvlText w:val="(%3)"/>
      <w:lvlJc w:val="left"/>
      <w:pPr>
        <w:tabs>
          <w:tab w:val="num" w:pos="2700"/>
        </w:tabs>
        <w:ind w:left="2700" w:hanging="720"/>
      </w:pPr>
      <w:rPr>
        <w:rFonts w:hint="default"/>
        <w:b/>
        <w:sz w:val="20"/>
        <w:szCs w:val="20"/>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31D60A9"/>
    <w:multiLevelType w:val="hybridMultilevel"/>
    <w:tmpl w:val="1A801A96"/>
    <w:lvl w:ilvl="0" w:tplc="3BB04CAE">
      <w:start w:val="1"/>
      <w:numFmt w:val="decimal"/>
      <w:lvlText w:val="%1."/>
      <w:lvlJc w:val="left"/>
      <w:pPr>
        <w:tabs>
          <w:tab w:val="num" w:pos="720"/>
        </w:tabs>
        <w:ind w:left="720" w:hanging="360"/>
      </w:pPr>
      <w:rPr>
        <w:b/>
      </w:rPr>
    </w:lvl>
    <w:lvl w:ilvl="1" w:tplc="0C0A0019">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180361FF"/>
    <w:multiLevelType w:val="hybridMultilevel"/>
    <w:tmpl w:val="634A8E34"/>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nsid w:val="1FD61B9D"/>
    <w:multiLevelType w:val="hybridMultilevel"/>
    <w:tmpl w:val="0540BA38"/>
    <w:lvl w:ilvl="0" w:tplc="0C0A0015">
      <w:start w:val="1"/>
      <w:numFmt w:val="upperLetter"/>
      <w:lvlText w:val="%1."/>
      <w:lvlJc w:val="left"/>
      <w:pPr>
        <w:ind w:left="720" w:hanging="360"/>
      </w:pPr>
    </w:lvl>
    <w:lvl w:ilvl="1" w:tplc="9C085FFC">
      <w:start w:val="1"/>
      <w:numFmt w:val="decimal"/>
      <w:lvlText w:val="%2."/>
      <w:lvlJc w:val="left"/>
      <w:pPr>
        <w:tabs>
          <w:tab w:val="num" w:pos="1440"/>
        </w:tabs>
        <w:ind w:left="144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nsid w:val="2CCF2AFD"/>
    <w:multiLevelType w:val="hybridMultilevel"/>
    <w:tmpl w:val="ADB452B8"/>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nsid w:val="2DFC5248"/>
    <w:multiLevelType w:val="hybridMultilevel"/>
    <w:tmpl w:val="921CE842"/>
    <w:lvl w:ilvl="0" w:tplc="F44A618E">
      <w:start w:val="1"/>
      <w:numFmt w:val="lowerRoman"/>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
    <w:nsid w:val="2E720AC6"/>
    <w:multiLevelType w:val="hybridMultilevel"/>
    <w:tmpl w:val="18446698"/>
    <w:lvl w:ilvl="0" w:tplc="2C762992">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1">
    <w:nsid w:val="3468407A"/>
    <w:multiLevelType w:val="hybridMultilevel"/>
    <w:tmpl w:val="314ED194"/>
    <w:lvl w:ilvl="0" w:tplc="C1AC6AE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2">
    <w:nsid w:val="3E7D0E0B"/>
    <w:multiLevelType w:val="hybridMultilevel"/>
    <w:tmpl w:val="DBB4219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408F6B27"/>
    <w:multiLevelType w:val="hybridMultilevel"/>
    <w:tmpl w:val="4684A2BA"/>
    <w:lvl w:ilvl="0" w:tplc="F5C055C0">
      <w:start w:val="1"/>
      <w:numFmt w:val="decimal"/>
      <w:lvlText w:val="%1."/>
      <w:lvlJc w:val="left"/>
      <w:pPr>
        <w:tabs>
          <w:tab w:val="num" w:pos="480"/>
        </w:tabs>
        <w:ind w:left="480" w:hanging="360"/>
      </w:pPr>
      <w:rPr>
        <w:rFonts w:hint="default"/>
        <w:b w:val="0"/>
      </w:rPr>
    </w:lvl>
    <w:lvl w:ilvl="1" w:tplc="0C0A0019" w:tentative="1">
      <w:start w:val="1"/>
      <w:numFmt w:val="lowerLetter"/>
      <w:lvlText w:val="%2."/>
      <w:lvlJc w:val="left"/>
      <w:pPr>
        <w:tabs>
          <w:tab w:val="num" w:pos="1200"/>
        </w:tabs>
        <w:ind w:left="1200" w:hanging="360"/>
      </w:pPr>
    </w:lvl>
    <w:lvl w:ilvl="2" w:tplc="709221C6" w:tentative="1">
      <w:start w:val="1"/>
      <w:numFmt w:val="lowerRoman"/>
      <w:lvlText w:val="%3."/>
      <w:lvlJc w:val="right"/>
      <w:pPr>
        <w:tabs>
          <w:tab w:val="num" w:pos="1920"/>
        </w:tabs>
        <w:ind w:left="1920" w:hanging="180"/>
      </w:pPr>
    </w:lvl>
    <w:lvl w:ilvl="3" w:tplc="0C0A000F" w:tentative="1">
      <w:start w:val="1"/>
      <w:numFmt w:val="decimal"/>
      <w:lvlText w:val="%4."/>
      <w:lvlJc w:val="left"/>
      <w:pPr>
        <w:tabs>
          <w:tab w:val="num" w:pos="2640"/>
        </w:tabs>
        <w:ind w:left="2640" w:hanging="360"/>
      </w:pPr>
    </w:lvl>
    <w:lvl w:ilvl="4" w:tplc="0C0A0019" w:tentative="1">
      <w:start w:val="1"/>
      <w:numFmt w:val="lowerLetter"/>
      <w:lvlText w:val="%5."/>
      <w:lvlJc w:val="left"/>
      <w:pPr>
        <w:tabs>
          <w:tab w:val="num" w:pos="3360"/>
        </w:tabs>
        <w:ind w:left="3360" w:hanging="360"/>
      </w:pPr>
    </w:lvl>
    <w:lvl w:ilvl="5" w:tplc="0C0A001B" w:tentative="1">
      <w:start w:val="1"/>
      <w:numFmt w:val="lowerRoman"/>
      <w:lvlText w:val="%6."/>
      <w:lvlJc w:val="right"/>
      <w:pPr>
        <w:tabs>
          <w:tab w:val="num" w:pos="4080"/>
        </w:tabs>
        <w:ind w:left="4080" w:hanging="180"/>
      </w:pPr>
    </w:lvl>
    <w:lvl w:ilvl="6" w:tplc="0C0A000F" w:tentative="1">
      <w:start w:val="1"/>
      <w:numFmt w:val="decimal"/>
      <w:lvlText w:val="%7."/>
      <w:lvlJc w:val="left"/>
      <w:pPr>
        <w:tabs>
          <w:tab w:val="num" w:pos="4800"/>
        </w:tabs>
        <w:ind w:left="4800" w:hanging="360"/>
      </w:pPr>
    </w:lvl>
    <w:lvl w:ilvl="7" w:tplc="0C0A0019" w:tentative="1">
      <w:start w:val="1"/>
      <w:numFmt w:val="lowerLetter"/>
      <w:lvlText w:val="%8."/>
      <w:lvlJc w:val="left"/>
      <w:pPr>
        <w:tabs>
          <w:tab w:val="num" w:pos="5520"/>
        </w:tabs>
        <w:ind w:left="5520" w:hanging="360"/>
      </w:pPr>
    </w:lvl>
    <w:lvl w:ilvl="8" w:tplc="0C0A001B" w:tentative="1">
      <w:start w:val="1"/>
      <w:numFmt w:val="lowerRoman"/>
      <w:lvlText w:val="%9."/>
      <w:lvlJc w:val="right"/>
      <w:pPr>
        <w:tabs>
          <w:tab w:val="num" w:pos="6240"/>
        </w:tabs>
        <w:ind w:left="6240" w:hanging="180"/>
      </w:pPr>
    </w:lvl>
  </w:abstractNum>
  <w:abstractNum w:abstractNumId="14">
    <w:nsid w:val="420F6C4B"/>
    <w:multiLevelType w:val="hybridMultilevel"/>
    <w:tmpl w:val="B4328FEE"/>
    <w:lvl w:ilvl="0" w:tplc="A5705B54">
      <w:start w:val="1"/>
      <w:numFmt w:val="lowerRoman"/>
      <w:lvlText w:val="(%1)"/>
      <w:lvlJc w:val="left"/>
      <w:pPr>
        <w:ind w:left="1287" w:hanging="360"/>
      </w:pPr>
      <w:rPr>
        <w:rFonts w:hint="default"/>
        <w:b/>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5">
    <w:nsid w:val="44193628"/>
    <w:multiLevelType w:val="hybridMultilevel"/>
    <w:tmpl w:val="94B681A2"/>
    <w:lvl w:ilvl="0" w:tplc="0C0A001B">
      <w:start w:val="1"/>
      <w:numFmt w:val="lowerRoman"/>
      <w:lvlText w:val="%1."/>
      <w:lvlJc w:val="right"/>
      <w:pPr>
        <w:ind w:left="720" w:hanging="360"/>
      </w:pPr>
      <w:rPr>
        <w:b/>
      </w:rPr>
    </w:lvl>
    <w:lvl w:ilvl="1" w:tplc="BB567E5A">
      <w:start w:val="1"/>
      <w:numFmt w:val="decimal"/>
      <w:lvlText w:val="%2."/>
      <w:lvlJc w:val="left"/>
      <w:pPr>
        <w:ind w:left="1455" w:hanging="375"/>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7">
    <w:nsid w:val="54D656E9"/>
    <w:multiLevelType w:val="hybridMultilevel"/>
    <w:tmpl w:val="DA708F52"/>
    <w:lvl w:ilvl="0" w:tplc="A5705B54">
      <w:start w:val="1"/>
      <w:numFmt w:val="lowerRoman"/>
      <w:lvlText w:val="(%1)"/>
      <w:lvlJc w:val="left"/>
      <w:pPr>
        <w:tabs>
          <w:tab w:val="num" w:pos="360"/>
        </w:tabs>
        <w:ind w:left="360" w:hanging="360"/>
      </w:pPr>
      <w:rPr>
        <w:rFonts w:hint="default"/>
        <w:b/>
      </w:rPr>
    </w:lvl>
    <w:lvl w:ilvl="1" w:tplc="AB5692E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55706F67"/>
    <w:multiLevelType w:val="hybridMultilevel"/>
    <w:tmpl w:val="50228332"/>
    <w:lvl w:ilvl="0" w:tplc="AFA4D940">
      <w:start w:val="1"/>
      <w:numFmt w:val="decimal"/>
      <w:lvlText w:val="%1."/>
      <w:lvlJc w:val="left"/>
      <w:pPr>
        <w:tabs>
          <w:tab w:val="num" w:pos="720"/>
        </w:tabs>
        <w:ind w:left="720" w:hanging="360"/>
      </w:pPr>
      <w:rPr>
        <w:sz w:val="12"/>
        <w:szCs w:val="1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9">
    <w:nsid w:val="55D10505"/>
    <w:multiLevelType w:val="hybridMultilevel"/>
    <w:tmpl w:val="E0024B12"/>
    <w:lvl w:ilvl="0" w:tplc="5ACCB444">
      <w:start w:val="1"/>
      <w:numFmt w:val="lowerRoman"/>
      <w:lvlText w:val="%1."/>
      <w:lvlJc w:val="right"/>
      <w:pPr>
        <w:ind w:left="1854" w:hanging="360"/>
      </w:pPr>
      <w:rPr>
        <w:b/>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20">
    <w:nsid w:val="56473656"/>
    <w:multiLevelType w:val="hybridMultilevel"/>
    <w:tmpl w:val="B072B59A"/>
    <w:lvl w:ilvl="0" w:tplc="56684FFC">
      <w:start w:val="1"/>
      <w:numFmt w:val="decimal"/>
      <w:lvlText w:val="%1."/>
      <w:lvlJc w:val="left"/>
      <w:pPr>
        <w:ind w:left="720" w:hanging="360"/>
      </w:pPr>
      <w:rPr>
        <w:b/>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5E193018"/>
    <w:multiLevelType w:val="hybridMultilevel"/>
    <w:tmpl w:val="CC50CAA0"/>
    <w:lvl w:ilvl="0" w:tplc="1AF815EA">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nsid w:val="61356E09"/>
    <w:multiLevelType w:val="hybridMultilevel"/>
    <w:tmpl w:val="A4108FE4"/>
    <w:lvl w:ilvl="0" w:tplc="81064F46">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3">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4">
    <w:nsid w:val="742A4401"/>
    <w:multiLevelType w:val="hybridMultilevel"/>
    <w:tmpl w:val="E33E7602"/>
    <w:lvl w:ilvl="0" w:tplc="BFBE62CE">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5">
    <w:nsid w:val="7CBF7177"/>
    <w:multiLevelType w:val="hybridMultilevel"/>
    <w:tmpl w:val="882A3CEC"/>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6">
    <w:nsid w:val="7EC759A6"/>
    <w:multiLevelType w:val="hybridMultilevel"/>
    <w:tmpl w:val="921CD5C4"/>
    <w:lvl w:ilvl="0" w:tplc="366C1FBA">
      <w:start w:val="1"/>
      <w:numFmt w:val="decimal"/>
      <w:lvlText w:val="%1."/>
      <w:lvlJc w:val="left"/>
      <w:pPr>
        <w:tabs>
          <w:tab w:val="num" w:pos="360"/>
        </w:tabs>
        <w:ind w:left="360" w:hanging="360"/>
      </w:pPr>
      <w:rPr>
        <w:rFonts w:hint="default"/>
        <w:b/>
        <w:sz w:val="20"/>
        <w:szCs w:val="20"/>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2"/>
  </w:num>
  <w:num w:numId="4">
    <w:abstractNumId w:val="1"/>
  </w:num>
  <w:num w:numId="5">
    <w:abstractNumId w:val="26"/>
  </w:num>
  <w:num w:numId="6">
    <w:abstractNumId w:val="22"/>
  </w:num>
  <w:num w:numId="7">
    <w:abstractNumId w:val="20"/>
  </w:num>
  <w:num w:numId="8">
    <w:abstractNumId w:val="25"/>
  </w:num>
  <w:num w:numId="9">
    <w:abstractNumId w:val="18"/>
  </w:num>
  <w:num w:numId="10">
    <w:abstractNumId w:val="15"/>
  </w:num>
  <w:num w:numId="11">
    <w:abstractNumId w:val="4"/>
  </w:num>
  <w:num w:numId="12">
    <w:abstractNumId w:val="11"/>
  </w:num>
  <w:num w:numId="13">
    <w:abstractNumId w:val="2"/>
  </w:num>
  <w:num w:numId="14">
    <w:abstractNumId w:val="13"/>
  </w:num>
  <w:num w:numId="15">
    <w:abstractNumId w:val="19"/>
  </w:num>
  <w:num w:numId="16">
    <w:abstractNumId w:val="10"/>
  </w:num>
  <w:num w:numId="17">
    <w:abstractNumId w:val="21"/>
  </w:num>
  <w:num w:numId="18">
    <w:abstractNumId w:val="9"/>
  </w:num>
  <w:num w:numId="19">
    <w:abstractNumId w:val="23"/>
  </w:num>
  <w:num w:numId="20">
    <w:abstractNumId w:val="14"/>
  </w:num>
  <w:num w:numId="21">
    <w:abstractNumId w:val="6"/>
  </w:num>
  <w:num w:numId="22">
    <w:abstractNumId w:val="16"/>
  </w:num>
  <w:num w:numId="23">
    <w:abstractNumId w:val="8"/>
  </w:num>
  <w:num w:numId="24">
    <w:abstractNumId w:val="3"/>
  </w:num>
  <w:num w:numId="25">
    <w:abstractNumId w:val="0"/>
  </w:num>
  <w:num w:numId="26">
    <w:abstractNumId w:val="24"/>
  </w:num>
  <w:num w:numId="27">
    <w:abstractNumId w:val="1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578"/>
  </w:hdrShapeDefaults>
  <w:footnotePr>
    <w:footnote w:id="0"/>
    <w:footnote w:id="1"/>
  </w:footnotePr>
  <w:endnotePr>
    <w:endnote w:id="0"/>
    <w:endnote w:id="1"/>
  </w:endnotePr>
  <w:compat/>
  <w:rsids>
    <w:rsidRoot w:val="00E13E6B"/>
    <w:rsid w:val="00000BF4"/>
    <w:rsid w:val="00016207"/>
    <w:rsid w:val="00027FB1"/>
    <w:rsid w:val="00036145"/>
    <w:rsid w:val="00041FBA"/>
    <w:rsid w:val="0005582F"/>
    <w:rsid w:val="00082DF1"/>
    <w:rsid w:val="000B0A8A"/>
    <w:rsid w:val="000B0CEB"/>
    <w:rsid w:val="000B6C24"/>
    <w:rsid w:val="000D61B8"/>
    <w:rsid w:val="000E3E0B"/>
    <w:rsid w:val="000E5424"/>
    <w:rsid w:val="001016D9"/>
    <w:rsid w:val="001337F7"/>
    <w:rsid w:val="00140241"/>
    <w:rsid w:val="00140DE4"/>
    <w:rsid w:val="00164CC7"/>
    <w:rsid w:val="001776B6"/>
    <w:rsid w:val="00187209"/>
    <w:rsid w:val="00187E2A"/>
    <w:rsid w:val="001C5BD6"/>
    <w:rsid w:val="001D44C0"/>
    <w:rsid w:val="001E448B"/>
    <w:rsid w:val="001E71F0"/>
    <w:rsid w:val="001F5C44"/>
    <w:rsid w:val="00214D5E"/>
    <w:rsid w:val="00222218"/>
    <w:rsid w:val="0022267E"/>
    <w:rsid w:val="00231184"/>
    <w:rsid w:val="0023169C"/>
    <w:rsid w:val="00254249"/>
    <w:rsid w:val="002837D2"/>
    <w:rsid w:val="00295C50"/>
    <w:rsid w:val="00331E1A"/>
    <w:rsid w:val="003430DE"/>
    <w:rsid w:val="00351F6F"/>
    <w:rsid w:val="00360AFE"/>
    <w:rsid w:val="003B4F9C"/>
    <w:rsid w:val="004255A5"/>
    <w:rsid w:val="00440D71"/>
    <w:rsid w:val="00442AC8"/>
    <w:rsid w:val="004515EA"/>
    <w:rsid w:val="00455F96"/>
    <w:rsid w:val="00466DC8"/>
    <w:rsid w:val="00484F8C"/>
    <w:rsid w:val="004C487F"/>
    <w:rsid w:val="004C5043"/>
    <w:rsid w:val="004F2CC5"/>
    <w:rsid w:val="00531D1E"/>
    <w:rsid w:val="005521E5"/>
    <w:rsid w:val="00567032"/>
    <w:rsid w:val="0057348B"/>
    <w:rsid w:val="005B0EEA"/>
    <w:rsid w:val="005B1E24"/>
    <w:rsid w:val="005E3E1C"/>
    <w:rsid w:val="005E6E6D"/>
    <w:rsid w:val="005F3C91"/>
    <w:rsid w:val="00635F2E"/>
    <w:rsid w:val="00642EE3"/>
    <w:rsid w:val="00645B41"/>
    <w:rsid w:val="0065269D"/>
    <w:rsid w:val="006550D3"/>
    <w:rsid w:val="006B6377"/>
    <w:rsid w:val="006C0A94"/>
    <w:rsid w:val="006C2E41"/>
    <w:rsid w:val="006C5B6A"/>
    <w:rsid w:val="006D0A8D"/>
    <w:rsid w:val="006D2E88"/>
    <w:rsid w:val="006E4E4E"/>
    <w:rsid w:val="006E5571"/>
    <w:rsid w:val="006E5BF8"/>
    <w:rsid w:val="006F0656"/>
    <w:rsid w:val="006F3B1E"/>
    <w:rsid w:val="0074555F"/>
    <w:rsid w:val="007570AE"/>
    <w:rsid w:val="00763CC8"/>
    <w:rsid w:val="00766749"/>
    <w:rsid w:val="007728C3"/>
    <w:rsid w:val="007D7DEB"/>
    <w:rsid w:val="007D7E70"/>
    <w:rsid w:val="007E4F29"/>
    <w:rsid w:val="008011A4"/>
    <w:rsid w:val="00822C2F"/>
    <w:rsid w:val="00826B5E"/>
    <w:rsid w:val="00835165"/>
    <w:rsid w:val="008422E3"/>
    <w:rsid w:val="008734E8"/>
    <w:rsid w:val="00903A92"/>
    <w:rsid w:val="009066F9"/>
    <w:rsid w:val="00920048"/>
    <w:rsid w:val="0092385F"/>
    <w:rsid w:val="0092699F"/>
    <w:rsid w:val="00932E06"/>
    <w:rsid w:val="00952222"/>
    <w:rsid w:val="00982D52"/>
    <w:rsid w:val="00992FEE"/>
    <w:rsid w:val="00993C05"/>
    <w:rsid w:val="009B3C77"/>
    <w:rsid w:val="009C2CF7"/>
    <w:rsid w:val="009E1F2A"/>
    <w:rsid w:val="009E3BC8"/>
    <w:rsid w:val="00A36836"/>
    <w:rsid w:val="00A52C81"/>
    <w:rsid w:val="00A9776E"/>
    <w:rsid w:val="00AA6BAC"/>
    <w:rsid w:val="00AA7525"/>
    <w:rsid w:val="00AB0F61"/>
    <w:rsid w:val="00AD4AB5"/>
    <w:rsid w:val="00AE41DD"/>
    <w:rsid w:val="00B05429"/>
    <w:rsid w:val="00B06760"/>
    <w:rsid w:val="00B1735A"/>
    <w:rsid w:val="00B25FCD"/>
    <w:rsid w:val="00B31BA1"/>
    <w:rsid w:val="00B63B65"/>
    <w:rsid w:val="00B71CFC"/>
    <w:rsid w:val="00BE51B2"/>
    <w:rsid w:val="00BE67EB"/>
    <w:rsid w:val="00C127C1"/>
    <w:rsid w:val="00C15ECB"/>
    <w:rsid w:val="00C5251B"/>
    <w:rsid w:val="00C8148D"/>
    <w:rsid w:val="00C866D0"/>
    <w:rsid w:val="00CB4799"/>
    <w:rsid w:val="00CC3859"/>
    <w:rsid w:val="00CC52A3"/>
    <w:rsid w:val="00D002B4"/>
    <w:rsid w:val="00D069FF"/>
    <w:rsid w:val="00D115F8"/>
    <w:rsid w:val="00D13BC9"/>
    <w:rsid w:val="00D43251"/>
    <w:rsid w:val="00D445DC"/>
    <w:rsid w:val="00DA127C"/>
    <w:rsid w:val="00DA2C25"/>
    <w:rsid w:val="00DC3001"/>
    <w:rsid w:val="00DD1154"/>
    <w:rsid w:val="00DD589B"/>
    <w:rsid w:val="00E124B8"/>
    <w:rsid w:val="00E13E6B"/>
    <w:rsid w:val="00E1470E"/>
    <w:rsid w:val="00E633EF"/>
    <w:rsid w:val="00E77676"/>
    <w:rsid w:val="00E964AA"/>
    <w:rsid w:val="00EC4953"/>
    <w:rsid w:val="00ED7B21"/>
    <w:rsid w:val="00EE4815"/>
    <w:rsid w:val="00EE7A6B"/>
    <w:rsid w:val="00F3647A"/>
    <w:rsid w:val="00F4438A"/>
    <w:rsid w:val="00F50510"/>
    <w:rsid w:val="00F66D53"/>
    <w:rsid w:val="00F77525"/>
    <w:rsid w:val="00F95796"/>
    <w:rsid w:val="00FA72CE"/>
    <w:rsid w:val="00FE6FD2"/>
    <w:rsid w:val="00FF6B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E6B"/>
    <w:pPr>
      <w:spacing w:after="0" w:line="240" w:lineRule="auto"/>
    </w:pPr>
    <w:rPr>
      <w:rFonts w:ascii="Times New Roman" w:eastAsia="Calibri" w:hAnsi="Times New Roman" w:cs="Times New Roman"/>
      <w:sz w:val="24"/>
      <w:szCs w:val="24"/>
      <w:lang w:eastAsia="es-ES"/>
    </w:rPr>
  </w:style>
  <w:style w:type="paragraph" w:styleId="Ttulo1">
    <w:name w:val="heading 1"/>
    <w:basedOn w:val="Normal"/>
    <w:next w:val="Normal"/>
    <w:link w:val="Ttulo1Car"/>
    <w:uiPriority w:val="9"/>
    <w:qFormat/>
    <w:rsid w:val="00EC49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EC49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13E6B"/>
    <w:pPr>
      <w:tabs>
        <w:tab w:val="center" w:pos="4252"/>
        <w:tab w:val="right" w:pos="8504"/>
      </w:tabs>
    </w:pPr>
  </w:style>
  <w:style w:type="character" w:customStyle="1" w:styleId="PiedepginaCar">
    <w:name w:val="Pie de página Car"/>
    <w:basedOn w:val="Fuentedeprrafopredeter"/>
    <w:link w:val="Piedepgina"/>
    <w:rsid w:val="00E13E6B"/>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E13E6B"/>
    <w:pPr>
      <w:jc w:val="both"/>
    </w:pPr>
    <w:rPr>
      <w:rFonts w:ascii="Tahoma" w:hAnsi="Tahoma"/>
      <w:sz w:val="22"/>
      <w:szCs w:val="20"/>
    </w:rPr>
  </w:style>
  <w:style w:type="paragraph" w:styleId="Textoindependiente3">
    <w:name w:val="Body Text 3"/>
    <w:basedOn w:val="Normal"/>
    <w:link w:val="Textoindependiente3Car"/>
    <w:rsid w:val="00E13E6B"/>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E13E6B"/>
    <w:rPr>
      <w:rFonts w:ascii="Arial" w:eastAsia="Batang" w:hAnsi="Arial" w:cs="Times New Roman"/>
      <w:b/>
      <w:sz w:val="20"/>
      <w:szCs w:val="20"/>
      <w:lang w:val="es-PE" w:eastAsia="es-ES"/>
    </w:rPr>
  </w:style>
  <w:style w:type="paragraph" w:styleId="Textoindependiente">
    <w:name w:val="Body Text"/>
    <w:basedOn w:val="Normal"/>
    <w:link w:val="TextoindependienteCar"/>
    <w:rsid w:val="00E13E6B"/>
    <w:pPr>
      <w:spacing w:after="120"/>
    </w:pPr>
  </w:style>
  <w:style w:type="character" w:customStyle="1" w:styleId="TextoindependienteCar">
    <w:name w:val="Texto independiente Car"/>
    <w:basedOn w:val="Fuentedeprrafopredeter"/>
    <w:link w:val="Textoindependiente"/>
    <w:rsid w:val="00E13E6B"/>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Car2 Car Car Car Car Car, Car2 Car, Car2, Car1 Car,Car1 Car, Car2 Car1 Car,Car2 Car Car Car Car Car,Car2 Car Car,Car2 Car Car Car Car Car Car, Car1, Car Car Car"/>
    <w:basedOn w:val="Normal"/>
    <w:link w:val="TextonotapieCar"/>
    <w:rsid w:val="00E13E6B"/>
    <w:rPr>
      <w:sz w:val="20"/>
      <w:szCs w:val="20"/>
    </w:rPr>
  </w:style>
  <w:style w:type="character" w:customStyle="1" w:styleId="TextonotapieCar">
    <w:name w:val="Texto nota pie Car"/>
    <w:aliases w:val="Car Car, Car Car,Car Car Car Car, Car4 Car,Texto nota pie1 Car,Body Text Car,Car4 Car, Car2 Car Car Car Car Car Car, Car2 Car Car, Car2 Car1, Car1 Car Car,Car1 Car Car, Car2 Car1 Car Car,Car2 Car Car Car Car Car Car1,Car2 Car Car Car"/>
    <w:basedOn w:val="Fuentedeprrafopredeter"/>
    <w:link w:val="Textonotapie"/>
    <w:rsid w:val="00E13E6B"/>
    <w:rPr>
      <w:rFonts w:ascii="Times New Roman" w:eastAsia="Calibri" w:hAnsi="Times New Roman" w:cs="Times New Roman"/>
      <w:sz w:val="20"/>
      <w:szCs w:val="20"/>
      <w:lang w:eastAsia="es-ES"/>
    </w:rPr>
  </w:style>
  <w:style w:type="character" w:styleId="Refdenotaalpie">
    <w:name w:val="footnote reference"/>
    <w:basedOn w:val="Fuentedeprrafopredeter"/>
    <w:rsid w:val="00E13E6B"/>
    <w:rPr>
      <w:rFonts w:cs="Times New Roman"/>
      <w:vertAlign w:val="superscript"/>
    </w:rPr>
  </w:style>
  <w:style w:type="paragraph" w:styleId="Prrafodelista">
    <w:name w:val="List Paragraph"/>
    <w:basedOn w:val="Normal"/>
    <w:uiPriority w:val="34"/>
    <w:qFormat/>
    <w:rsid w:val="00E13E6B"/>
    <w:pPr>
      <w:ind w:left="720"/>
      <w:contextualSpacing/>
    </w:pPr>
    <w:rPr>
      <w:rFonts w:eastAsia="Times New Roman"/>
      <w:sz w:val="20"/>
      <w:szCs w:val="20"/>
      <w:lang w:eastAsia="es-PE"/>
    </w:rPr>
  </w:style>
  <w:style w:type="paragraph" w:styleId="Sangradetextonormal">
    <w:name w:val="Body Text Indent"/>
    <w:basedOn w:val="Normal"/>
    <w:link w:val="SangradetextonormalCar"/>
    <w:unhideWhenUsed/>
    <w:rsid w:val="00E13E6B"/>
    <w:pPr>
      <w:spacing w:after="120"/>
      <w:ind w:left="283"/>
    </w:pPr>
    <w:rPr>
      <w:rFonts w:eastAsia="Times New Roman"/>
    </w:rPr>
  </w:style>
  <w:style w:type="character" w:customStyle="1" w:styleId="SangradetextonormalCar">
    <w:name w:val="Sangría de texto normal Car"/>
    <w:basedOn w:val="Fuentedeprrafopredeter"/>
    <w:link w:val="Sangradetextonormal"/>
    <w:rsid w:val="00E13E6B"/>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E13E6B"/>
    <w:pPr>
      <w:spacing w:after="120" w:line="480" w:lineRule="auto"/>
    </w:pPr>
  </w:style>
  <w:style w:type="character" w:customStyle="1" w:styleId="Textoindependiente2Car">
    <w:name w:val="Texto independiente 2 Car"/>
    <w:basedOn w:val="Fuentedeprrafopredeter"/>
    <w:link w:val="Textoindependiente2"/>
    <w:uiPriority w:val="99"/>
    <w:semiHidden/>
    <w:rsid w:val="00E13E6B"/>
    <w:rPr>
      <w:rFonts w:ascii="Times New Roman" w:eastAsia="Calibri" w:hAnsi="Times New Roman" w:cs="Times New Roman"/>
      <w:sz w:val="24"/>
      <w:szCs w:val="24"/>
      <w:lang w:eastAsia="es-ES"/>
    </w:rPr>
  </w:style>
  <w:style w:type="paragraph" w:styleId="Sinespaciado">
    <w:name w:val="No Spacing"/>
    <w:uiPriority w:val="1"/>
    <w:qFormat/>
    <w:rsid w:val="00F77525"/>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unhideWhenUsed/>
    <w:rsid w:val="0055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conformatoprevioCar">
    <w:name w:val="HTML con formato previo Car"/>
    <w:basedOn w:val="Fuentedeprrafopredeter"/>
    <w:link w:val="HTMLconformatoprevio"/>
    <w:rsid w:val="005521E5"/>
    <w:rPr>
      <w:rFonts w:ascii="Courier New" w:eastAsia="Times New Roman" w:hAnsi="Courier New" w:cs="Courier New"/>
      <w:color w:val="000000"/>
      <w:sz w:val="20"/>
      <w:szCs w:val="20"/>
      <w:lang w:eastAsia="es-ES"/>
    </w:rPr>
  </w:style>
  <w:style w:type="table" w:styleId="Tablaconcuadrcula">
    <w:name w:val="Table Grid"/>
    <w:basedOn w:val="Tablanormal"/>
    <w:rsid w:val="00766749"/>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C495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rsid w:val="00EC4953"/>
    <w:rPr>
      <w:rFonts w:asciiTheme="majorHAnsi" w:eastAsiaTheme="majorEastAsia" w:hAnsiTheme="majorHAnsi" w:cstheme="majorBidi"/>
      <w:b/>
      <w:bCs/>
      <w:color w:val="4F81BD" w:themeColor="accent1"/>
      <w:sz w:val="26"/>
      <w:szCs w:val="26"/>
      <w:lang w:eastAsia="es-ES"/>
    </w:rPr>
  </w:style>
  <w:style w:type="paragraph" w:styleId="Lista">
    <w:name w:val="List"/>
    <w:basedOn w:val="Normal"/>
    <w:uiPriority w:val="99"/>
    <w:unhideWhenUsed/>
    <w:rsid w:val="00EC4953"/>
    <w:pPr>
      <w:ind w:left="283" w:hanging="283"/>
      <w:contextualSpacing/>
    </w:pPr>
  </w:style>
  <w:style w:type="paragraph" w:styleId="Lista2">
    <w:name w:val="List 2"/>
    <w:basedOn w:val="Normal"/>
    <w:uiPriority w:val="99"/>
    <w:unhideWhenUsed/>
    <w:rsid w:val="00EC4953"/>
    <w:pPr>
      <w:ind w:left="566" w:hanging="283"/>
      <w:contextualSpacing/>
    </w:pPr>
  </w:style>
  <w:style w:type="paragraph" w:styleId="Textoindependienteprimerasangra">
    <w:name w:val="Body Text First Indent"/>
    <w:basedOn w:val="Textoindependiente"/>
    <w:link w:val="TextoindependienteprimerasangraCar"/>
    <w:uiPriority w:val="99"/>
    <w:unhideWhenUsed/>
    <w:rsid w:val="00EC4953"/>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EC4953"/>
  </w:style>
  <w:style w:type="paragraph" w:styleId="Textoindependienteprimerasangra2">
    <w:name w:val="Body Text First Indent 2"/>
    <w:basedOn w:val="Sangradetextonormal"/>
    <w:link w:val="Textoindependienteprimerasangra2Car"/>
    <w:uiPriority w:val="99"/>
    <w:unhideWhenUsed/>
    <w:rsid w:val="00EC4953"/>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EC4953"/>
    <w:rPr>
      <w:rFonts w:eastAsia="Calibri"/>
    </w:rPr>
  </w:style>
  <w:style w:type="paragraph" w:customStyle="1" w:styleId="msonormalcxspmiddle">
    <w:name w:val="msonormalcxspmiddle"/>
    <w:basedOn w:val="Normal"/>
    <w:rsid w:val="005E6E6D"/>
    <w:pPr>
      <w:spacing w:before="100" w:beforeAutospacing="1" w:after="100" w:afterAutospacing="1"/>
    </w:pPr>
    <w:rPr>
      <w:rFonts w:eastAsia="Times New Roman"/>
    </w:rPr>
  </w:style>
  <w:style w:type="paragraph" w:styleId="Encabezado">
    <w:name w:val="header"/>
    <w:aliases w:val="maria,h"/>
    <w:basedOn w:val="Normal"/>
    <w:link w:val="EncabezadoCar"/>
    <w:uiPriority w:val="99"/>
    <w:semiHidden/>
    <w:unhideWhenUsed/>
    <w:rsid w:val="00ED7B21"/>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ED7B21"/>
    <w:rPr>
      <w:rFonts w:ascii="Times New Roman" w:eastAsia="Calibri"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7565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14</Pages>
  <Words>5033</Words>
  <Characters>27687</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118</cp:revision>
  <cp:lastPrinted>2011-05-20T16:40:00Z</cp:lastPrinted>
  <dcterms:created xsi:type="dcterms:W3CDTF">2010-04-16T12:41:00Z</dcterms:created>
  <dcterms:modified xsi:type="dcterms:W3CDTF">2011-06-22T14:19:00Z</dcterms:modified>
</cp:coreProperties>
</file>